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5" w:after="75"/>
        <w:jc w:val="center"/>
        <w:rPr>
          <w:rFonts w:hint="eastAsia" w:ascii="宋体" w:hAnsi="宋体" w:eastAsia="宋体" w:cs="宋体"/>
          <w:b/>
          <w:bCs/>
          <w:kern w:val="0"/>
          <w:sz w:val="72"/>
          <w:szCs w:val="72"/>
          <w:highlight w:val="none"/>
        </w:rPr>
      </w:pPr>
      <w:r>
        <w:rPr>
          <w:rFonts w:hint="eastAsia" w:ascii="宋体" w:hAnsi="宋体" w:eastAsia="宋体" w:cs="宋体"/>
          <w:b/>
          <w:bCs/>
          <w:kern w:val="0"/>
          <w:sz w:val="72"/>
          <w:szCs w:val="72"/>
          <w:highlight w:val="none"/>
        </w:rPr>
        <w:t>福建省政府采购</w:t>
      </w:r>
    </w:p>
    <w:p>
      <w:pPr>
        <w:widowControl/>
        <w:spacing w:before="75" w:after="75"/>
        <w:jc w:val="center"/>
        <w:rPr>
          <w:rFonts w:hint="eastAsia" w:ascii="宋体" w:hAnsi="宋体" w:eastAsia="宋体" w:cs="宋体"/>
          <w:b/>
          <w:bCs/>
          <w:kern w:val="0"/>
          <w:sz w:val="72"/>
          <w:szCs w:val="72"/>
          <w:highlight w:val="none"/>
        </w:rPr>
      </w:pPr>
      <w:r>
        <w:rPr>
          <w:rFonts w:hint="eastAsia" w:ascii="宋体" w:hAnsi="宋体" w:eastAsia="宋体" w:cs="宋体"/>
          <w:b/>
          <w:bCs/>
          <w:kern w:val="0"/>
          <w:sz w:val="72"/>
          <w:szCs w:val="72"/>
          <w:highlight w:val="none"/>
        </w:rPr>
        <w:t>货物和服务项目</w:t>
      </w:r>
    </w:p>
    <w:p>
      <w:pPr>
        <w:widowControl/>
        <w:spacing w:before="75" w:after="75"/>
        <w:jc w:val="center"/>
        <w:rPr>
          <w:rFonts w:hint="eastAsia" w:ascii="宋体" w:hAnsi="宋体" w:eastAsia="宋体" w:cs="宋体"/>
          <w:b/>
          <w:bCs/>
          <w:kern w:val="0"/>
          <w:sz w:val="72"/>
          <w:szCs w:val="72"/>
          <w:highlight w:val="none"/>
        </w:rPr>
      </w:pPr>
      <w:r>
        <w:rPr>
          <w:rFonts w:hint="eastAsia" w:ascii="宋体" w:hAnsi="宋体" w:eastAsia="宋体" w:cs="宋体"/>
          <w:b/>
          <w:bCs/>
          <w:kern w:val="0"/>
          <w:sz w:val="72"/>
          <w:szCs w:val="72"/>
          <w:highlight w:val="none"/>
        </w:rPr>
        <w:t>公开招标文件</w:t>
      </w:r>
    </w:p>
    <w:p>
      <w:pPr>
        <w:pStyle w:val="7"/>
        <w:keepNext w:val="0"/>
        <w:keepLines w:val="0"/>
        <w:widowControl/>
        <w:suppressLineNumbers w:val="0"/>
        <w:spacing w:before="76" w:beforeAutospacing="0" w:after="76" w:afterAutospacing="0"/>
        <w:ind w:left="-362" w:right="-362" w:firstLine="0"/>
        <w:jc w:val="center"/>
        <w:rPr>
          <w:rFonts w:hint="eastAsia" w:ascii="宋体" w:hAnsi="宋体" w:eastAsia="宋体" w:cs="宋体"/>
          <w:b/>
          <w:bCs/>
          <w:kern w:val="0"/>
          <w:sz w:val="72"/>
          <w:szCs w:val="72"/>
          <w:highlight w:val="none"/>
          <w:lang w:val="en-US" w:eastAsia="zh-CN" w:bidi="ar-SA"/>
        </w:rPr>
      </w:pPr>
      <w:r>
        <w:rPr>
          <w:rFonts w:hint="eastAsia" w:ascii="宋体" w:hAnsi="宋体" w:eastAsia="宋体" w:cs="宋体"/>
          <w:b/>
          <w:bCs/>
          <w:kern w:val="0"/>
          <w:sz w:val="72"/>
          <w:szCs w:val="72"/>
          <w:highlight w:val="none"/>
          <w:lang w:val="en-US" w:eastAsia="zh-CN" w:bidi="ar-SA"/>
        </w:rPr>
        <w:t>（预公告稿）</w:t>
      </w:r>
    </w:p>
    <w:p>
      <w:pPr>
        <w:pStyle w:val="7"/>
        <w:keepNext w:val="0"/>
        <w:keepLines w:val="0"/>
        <w:widowControl/>
        <w:suppressLineNumbers w:val="0"/>
        <w:spacing w:before="60" w:beforeAutospacing="0" w:after="60" w:afterAutospacing="0"/>
        <w:ind w:left="0" w:right="0" w:firstLine="0"/>
        <w:rPr>
          <w:highlight w:val="none"/>
        </w:rPr>
      </w:pPr>
    </w:p>
    <w:p>
      <w:pPr>
        <w:pStyle w:val="7"/>
        <w:keepNext w:val="0"/>
        <w:keepLines w:val="0"/>
        <w:widowControl/>
        <w:suppressLineNumbers w:val="0"/>
        <w:spacing w:before="60" w:beforeAutospacing="0" w:after="60" w:afterAutospacing="0"/>
        <w:ind w:left="0" w:right="0" w:firstLine="0"/>
        <w:jc w:val="center"/>
        <w:rPr>
          <w:highlight w:val="none"/>
        </w:rPr>
      </w:pPr>
      <w:r>
        <w:rPr>
          <w:spacing w:val="0"/>
          <w:sz w:val="19"/>
          <w:szCs w:val="19"/>
          <w:highlight w:val="none"/>
        </w:rPr>
        <w:t> </w:t>
      </w:r>
    </w:p>
    <w:p>
      <w:pPr>
        <w:pStyle w:val="7"/>
        <w:keepNext w:val="0"/>
        <w:keepLines w:val="0"/>
        <w:widowControl/>
        <w:suppressLineNumbers w:val="0"/>
        <w:spacing w:before="60" w:beforeAutospacing="0" w:after="60" w:afterAutospacing="0"/>
        <w:ind w:left="0" w:right="0" w:firstLine="0"/>
        <w:rPr>
          <w:highlight w:val="none"/>
        </w:rPr>
      </w:pPr>
      <w:r>
        <w:rPr>
          <w:spacing w:val="0"/>
          <w:sz w:val="19"/>
          <w:szCs w:val="19"/>
          <w:highlight w:val="none"/>
        </w:rPr>
        <w:t> </w:t>
      </w:r>
      <w:bookmarkStart w:id="2" w:name="_GoBack"/>
      <w:bookmarkEnd w:id="2"/>
    </w:p>
    <w:p>
      <w:pPr>
        <w:pStyle w:val="7"/>
        <w:keepNext w:val="0"/>
        <w:keepLines w:val="0"/>
        <w:widowControl/>
        <w:suppressLineNumbers w:val="0"/>
        <w:spacing w:before="60" w:beforeAutospacing="0" w:after="60" w:afterAutospacing="0"/>
        <w:ind w:left="0" w:right="0" w:firstLine="0"/>
        <w:jc w:val="center"/>
        <w:rPr>
          <w:highlight w:val="none"/>
        </w:rPr>
      </w:pPr>
      <w:r>
        <w:rPr>
          <w:rStyle w:val="10"/>
          <w:rFonts w:hint="eastAsia" w:ascii="宋体" w:hAnsi="宋体" w:eastAsia="宋体" w:cs="宋体"/>
          <w:b/>
          <w:spacing w:val="0"/>
          <w:sz w:val="28"/>
          <w:szCs w:val="28"/>
          <w:highlight w:val="none"/>
        </w:rPr>
        <w:t> </w:t>
      </w:r>
    </w:p>
    <w:p>
      <w:pPr>
        <w:pStyle w:val="7"/>
        <w:keepNext w:val="0"/>
        <w:keepLines w:val="0"/>
        <w:widowControl/>
        <w:suppressLineNumbers w:val="0"/>
        <w:spacing w:before="60" w:beforeAutospacing="0" w:after="60" w:afterAutospacing="0"/>
        <w:ind w:left="0" w:right="0" w:firstLine="0"/>
        <w:jc w:val="center"/>
        <w:rPr>
          <w:highlight w:val="none"/>
        </w:rPr>
      </w:pPr>
      <w:r>
        <w:rPr>
          <w:rStyle w:val="10"/>
          <w:rFonts w:hint="eastAsia" w:ascii="宋体" w:hAnsi="宋体" w:eastAsia="宋体" w:cs="宋体"/>
          <w:b/>
          <w:spacing w:val="0"/>
          <w:sz w:val="24"/>
          <w:szCs w:val="24"/>
          <w:highlight w:val="none"/>
        </w:rPr>
        <w:t> </w:t>
      </w:r>
    </w:p>
    <w:p>
      <w:pPr>
        <w:pStyle w:val="7"/>
        <w:keepNext w:val="0"/>
        <w:keepLines w:val="0"/>
        <w:widowControl/>
        <w:suppressLineNumbers w:val="0"/>
        <w:spacing w:before="60" w:beforeAutospacing="0" w:after="60" w:afterAutospacing="0"/>
        <w:ind w:left="0" w:right="0" w:firstLine="840"/>
        <w:jc w:val="center"/>
        <w:rPr>
          <w:rFonts w:hint="eastAsia" w:ascii="宋体" w:hAnsi="宋体" w:eastAsia="宋体" w:cs="宋体"/>
          <w:b/>
          <w:bCs/>
          <w:kern w:val="0"/>
          <w:sz w:val="30"/>
          <w:szCs w:val="30"/>
          <w:highlight w:val="none"/>
          <w:lang w:val="en-US" w:eastAsia="zh-CN" w:bidi="ar-SA"/>
        </w:rPr>
      </w:pPr>
      <w:r>
        <w:rPr>
          <w:rFonts w:hint="eastAsia" w:ascii="宋体" w:hAnsi="宋体" w:eastAsia="宋体" w:cs="宋体"/>
          <w:b/>
          <w:bCs/>
          <w:kern w:val="0"/>
          <w:sz w:val="30"/>
          <w:szCs w:val="30"/>
          <w:highlight w:val="none"/>
          <w:lang w:val="en-US" w:eastAsia="zh-CN" w:bidi="ar-SA"/>
        </w:rPr>
        <w:t>项目名称：福建省福州结核病防治院直线加速器及大孔径模拟定位CT货物类采购项目</w:t>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0"/>
          <w:szCs w:val="30"/>
          <w:highlight w:val="none"/>
          <w:lang w:val="en-US" w:eastAsia="zh-CN" w:bidi="ar-SA"/>
        </w:rPr>
      </w:pPr>
    </w:p>
    <w:p>
      <w:pPr>
        <w:pStyle w:val="7"/>
        <w:keepNext w:val="0"/>
        <w:keepLines w:val="0"/>
        <w:widowControl/>
        <w:suppressLineNumbers w:val="0"/>
        <w:spacing w:before="60" w:beforeAutospacing="0" w:after="60" w:afterAutospacing="0"/>
        <w:ind w:left="0" w:right="0" w:firstLine="840"/>
        <w:jc w:val="center"/>
        <w:rPr>
          <w:rFonts w:hint="eastAsia" w:ascii="宋体" w:hAnsi="宋体" w:eastAsia="宋体" w:cs="宋体"/>
          <w:b/>
          <w:bCs/>
          <w:kern w:val="0"/>
          <w:sz w:val="30"/>
          <w:szCs w:val="30"/>
          <w:highlight w:val="none"/>
          <w:lang w:val="en-US" w:eastAsia="zh-CN" w:bidi="ar-SA"/>
        </w:rPr>
      </w:pPr>
      <w:r>
        <w:rPr>
          <w:rFonts w:hint="eastAsia" w:ascii="宋体" w:hAnsi="宋体" w:eastAsia="宋体" w:cs="宋体"/>
          <w:b/>
          <w:bCs/>
          <w:kern w:val="0"/>
          <w:sz w:val="30"/>
          <w:szCs w:val="30"/>
          <w:highlight w:val="none"/>
          <w:lang w:val="en-US" w:eastAsia="zh-CN" w:bidi="ar-SA"/>
        </w:rPr>
        <w:t>备案编号：A-50322-GK-202203-B1327-IDN</w:t>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0"/>
          <w:szCs w:val="30"/>
          <w:highlight w:val="none"/>
          <w:lang w:val="en-US" w:eastAsia="zh-CN" w:bidi="ar-SA"/>
        </w:rPr>
      </w:pPr>
    </w:p>
    <w:p>
      <w:pPr>
        <w:pStyle w:val="7"/>
        <w:keepNext w:val="0"/>
        <w:keepLines w:val="0"/>
        <w:widowControl/>
        <w:suppressLineNumbers w:val="0"/>
        <w:spacing w:before="60" w:beforeAutospacing="0" w:after="60" w:afterAutospacing="0"/>
        <w:ind w:left="0" w:right="0" w:firstLine="840"/>
        <w:jc w:val="center"/>
        <w:rPr>
          <w:rFonts w:hint="eastAsia" w:ascii="宋体" w:hAnsi="宋体" w:eastAsia="宋体" w:cs="宋体"/>
          <w:b/>
          <w:bCs/>
          <w:kern w:val="0"/>
          <w:sz w:val="30"/>
          <w:szCs w:val="30"/>
          <w:highlight w:val="none"/>
          <w:lang w:val="en-US" w:eastAsia="zh-CN" w:bidi="ar-SA"/>
        </w:rPr>
      </w:pPr>
      <w:r>
        <w:rPr>
          <w:rFonts w:hint="eastAsia" w:ascii="宋体" w:hAnsi="宋体" w:eastAsia="宋体" w:cs="宋体"/>
          <w:b/>
          <w:bCs/>
          <w:kern w:val="0"/>
          <w:sz w:val="30"/>
          <w:szCs w:val="30"/>
          <w:highlight w:val="none"/>
          <w:lang w:val="en-US" w:eastAsia="zh-CN" w:bidi="ar-SA"/>
        </w:rPr>
        <w:t>招标编号：[350100]HMY[GK]2022002</w:t>
      </w:r>
      <w:r>
        <w:rPr>
          <w:rFonts w:hint="eastAsia" w:ascii="宋体" w:hAnsi="宋体" w:eastAsia="宋体" w:cs="宋体"/>
          <w:b/>
          <w:bCs/>
          <w:kern w:val="0"/>
          <w:sz w:val="30"/>
          <w:szCs w:val="30"/>
          <w:highlight w:val="none"/>
          <w:lang w:val="en-US" w:eastAsia="zh-CN" w:bidi="ar-SA"/>
        </w:rPr>
        <w:br w:type="textWrapping"/>
      </w:r>
    </w:p>
    <w:p>
      <w:pPr>
        <w:keepNext w:val="0"/>
        <w:keepLines w:val="0"/>
        <w:widowControl/>
        <w:suppressLineNumbers w:val="0"/>
        <w:jc w:val="center"/>
        <w:rPr>
          <w:rFonts w:hint="eastAsia" w:ascii="宋体" w:hAnsi="宋体" w:eastAsia="宋体" w:cs="宋体"/>
          <w:b/>
          <w:bCs/>
          <w:kern w:val="0"/>
          <w:sz w:val="30"/>
          <w:szCs w:val="30"/>
          <w:highlight w:val="none"/>
          <w:lang w:val="en-US" w:eastAsia="zh-CN" w:bidi="ar-SA"/>
        </w:rPr>
      </w:pP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0"/>
          <w:szCs w:val="30"/>
          <w:highlight w:val="none"/>
          <w:lang w:val="en-US" w:eastAsia="zh-CN" w:bidi="ar-SA"/>
        </w:rPr>
      </w:pPr>
      <w:r>
        <w:rPr>
          <w:rFonts w:hint="eastAsia" w:ascii="宋体" w:hAnsi="宋体" w:eastAsia="宋体" w:cs="宋体"/>
          <w:b/>
          <w:bCs/>
          <w:kern w:val="0"/>
          <w:sz w:val="30"/>
          <w:szCs w:val="30"/>
          <w:highlight w:val="none"/>
          <w:lang w:val="en-US" w:eastAsia="zh-CN" w:bidi="ar-SA"/>
        </w:rPr>
        <w:t>采购人： 福建省福州结核病防治院</w:t>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0"/>
          <w:szCs w:val="30"/>
          <w:highlight w:val="none"/>
          <w:lang w:val="en-US" w:eastAsia="zh-CN" w:bidi="ar-SA"/>
        </w:rPr>
      </w:pPr>
      <w:r>
        <w:rPr>
          <w:rFonts w:hint="eastAsia" w:ascii="宋体" w:hAnsi="宋体" w:eastAsia="宋体" w:cs="宋体"/>
          <w:b/>
          <w:bCs/>
          <w:kern w:val="0"/>
          <w:sz w:val="30"/>
          <w:szCs w:val="30"/>
          <w:highlight w:val="none"/>
          <w:lang w:val="en-US" w:eastAsia="zh-CN" w:bidi="ar-SA"/>
        </w:rPr>
        <w:t>代理机构：福建恒茂源工程管理有限公司</w:t>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0"/>
          <w:szCs w:val="30"/>
          <w:highlight w:val="none"/>
          <w:lang w:val="en-US" w:eastAsia="zh-CN" w:bidi="ar-SA"/>
        </w:rPr>
      </w:pPr>
    </w:p>
    <w:p>
      <w:pPr>
        <w:pStyle w:val="7"/>
        <w:keepNext w:val="0"/>
        <w:keepLines w:val="0"/>
        <w:widowControl/>
        <w:suppressLineNumbers w:val="0"/>
        <w:spacing w:before="60" w:beforeAutospacing="0" w:after="60" w:afterAutospacing="0" w:line="288" w:lineRule="atLeast"/>
        <w:ind w:left="0" w:right="576" w:firstLine="0"/>
        <w:jc w:val="center"/>
        <w:rPr>
          <w:rFonts w:hint="eastAsia" w:ascii="宋体" w:hAnsi="宋体" w:eastAsia="宋体" w:cs="宋体"/>
          <w:b/>
          <w:bCs/>
          <w:kern w:val="0"/>
          <w:sz w:val="30"/>
          <w:szCs w:val="30"/>
          <w:highlight w:val="none"/>
          <w:lang w:val="en-US" w:eastAsia="zh-CN" w:bidi="ar-SA"/>
        </w:rPr>
      </w:pPr>
      <w:r>
        <w:rPr>
          <w:rFonts w:hint="eastAsia" w:ascii="宋体" w:hAnsi="宋体" w:eastAsia="宋体" w:cs="宋体"/>
          <w:b/>
          <w:bCs/>
          <w:kern w:val="0"/>
          <w:sz w:val="30"/>
          <w:szCs w:val="30"/>
          <w:highlight w:val="none"/>
          <w:lang w:val="en-US" w:eastAsia="zh-CN" w:bidi="ar-SA"/>
        </w:rPr>
        <w:t>2022年03月</w:t>
      </w:r>
    </w:p>
    <w:p>
      <w:pPr>
        <w:widowControl/>
        <w:spacing w:before="75" w:after="75"/>
        <w:jc w:val="center"/>
        <w:rPr>
          <w:rFonts w:hint="eastAsia" w:ascii="宋体" w:hAnsi="宋体" w:eastAsia="宋体" w:cs="宋体"/>
          <w:b/>
          <w:bCs/>
          <w:kern w:val="0"/>
          <w:sz w:val="32"/>
          <w:szCs w:val="32"/>
          <w:highlight w:val="none"/>
        </w:rPr>
        <w:sectPr>
          <w:pgSz w:w="11906" w:h="16838"/>
          <w:pgMar w:top="1440" w:right="1800" w:bottom="1440" w:left="1800" w:header="851" w:footer="992" w:gutter="0"/>
          <w:cols w:space="425" w:num="1"/>
          <w:docGrid w:type="lines" w:linePitch="312" w:charSpace="0"/>
        </w:sectPr>
      </w:pPr>
    </w:p>
    <w:p>
      <w:pPr>
        <w:widowControl/>
        <w:spacing w:before="75" w:after="75"/>
        <w:jc w:val="cente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t>第一章   投标邀请</w:t>
      </w:r>
    </w:p>
    <w:p>
      <w:pPr>
        <w:pStyle w:val="7"/>
        <w:keepNext w:val="0"/>
        <w:keepLines w:val="0"/>
        <w:widowControl/>
        <w:suppressLineNumbers w:val="0"/>
        <w:spacing w:before="60" w:beforeAutospacing="0" w:after="60" w:afterAutospacing="0"/>
        <w:ind w:left="0" w:right="0" w:firstLine="0"/>
        <w:rPr>
          <w:highlight w:val="none"/>
        </w:rPr>
      </w:pPr>
      <w:r>
        <w:rPr>
          <w:spacing w:val="0"/>
          <w:sz w:val="19"/>
          <w:szCs w:val="19"/>
          <w:highlight w:val="none"/>
        </w:rPr>
        <w:t> </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采用</w:t>
      </w:r>
      <w:r>
        <w:rPr>
          <w:rFonts w:hint="eastAsia" w:asciiTheme="minorEastAsia" w:hAnsiTheme="minorEastAsia" w:eastAsiaTheme="minorEastAsia" w:cstheme="minorEastAsia"/>
          <w:spacing w:val="0"/>
          <w:sz w:val="21"/>
          <w:szCs w:val="21"/>
          <w:highlight w:val="none"/>
          <w:u w:val="single"/>
        </w:rPr>
        <w:t>公开招标方式</w:t>
      </w:r>
      <w:r>
        <w:rPr>
          <w:rFonts w:hint="eastAsia" w:asciiTheme="minorEastAsia" w:hAnsiTheme="minorEastAsia" w:eastAsiaTheme="minorEastAsia" w:cstheme="minorEastAsia"/>
          <w:spacing w:val="0"/>
          <w:sz w:val="21"/>
          <w:szCs w:val="21"/>
          <w:highlight w:val="none"/>
        </w:rPr>
        <w:t>组织</w:t>
      </w:r>
      <w:r>
        <w:rPr>
          <w:rFonts w:hint="eastAsia" w:asciiTheme="minorEastAsia" w:hAnsiTheme="minorEastAsia" w:eastAsiaTheme="minorEastAsia" w:cstheme="minorEastAsia"/>
          <w:spacing w:val="0"/>
          <w:sz w:val="21"/>
          <w:szCs w:val="21"/>
          <w:highlight w:val="none"/>
          <w:u w:val="none"/>
        </w:rPr>
        <w:t>福建省福州结核病防治院直线加速器及大孔径模拟定位CT货物类采购项目</w:t>
      </w:r>
      <w:r>
        <w:rPr>
          <w:rFonts w:hint="eastAsia" w:asciiTheme="minorEastAsia" w:hAnsiTheme="minorEastAsia" w:eastAsiaTheme="minorEastAsia" w:cstheme="minorEastAsia"/>
          <w:spacing w:val="0"/>
          <w:sz w:val="21"/>
          <w:szCs w:val="21"/>
          <w:highlight w:val="none"/>
        </w:rPr>
        <w:t>（以下简称：“本项目”）的政府采购活动，现邀请供应商参加投标。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1、备案编号：</w:t>
      </w:r>
      <w:r>
        <w:rPr>
          <w:rFonts w:hint="eastAsia" w:asciiTheme="minorEastAsia" w:hAnsiTheme="minorEastAsia" w:eastAsiaTheme="minorEastAsia" w:cstheme="minorEastAsia"/>
          <w:spacing w:val="0"/>
          <w:sz w:val="21"/>
          <w:szCs w:val="21"/>
          <w:highlight w:val="none"/>
          <w:u w:val="single"/>
        </w:rPr>
        <w:t>A-50322-GK-202203-B1327-IDN</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2、招标编号：</w:t>
      </w:r>
      <w:r>
        <w:rPr>
          <w:rFonts w:hint="eastAsia" w:asciiTheme="minorEastAsia" w:hAnsiTheme="minorEastAsia" w:eastAsiaTheme="minorEastAsia" w:cstheme="minorEastAsia"/>
          <w:spacing w:val="0"/>
          <w:sz w:val="21"/>
          <w:szCs w:val="21"/>
          <w:highlight w:val="none"/>
          <w:u w:val="single"/>
        </w:rPr>
        <w:t>[350100]HMY[GK]2022002</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3、预算金额、最高限价：详见《采购标的一览表》。</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4、招标内容及要求：详见《采购标的一览表》及招标文件第五章。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5、需要落实的政府采购政策：节能产品</w:t>
      </w:r>
      <w:r>
        <w:rPr>
          <w:rFonts w:hint="eastAsia" w:asciiTheme="minorEastAsia" w:hAnsiTheme="minorEastAsia" w:eastAsiaTheme="minorEastAsia" w:cstheme="minorEastAsia"/>
          <w:spacing w:val="0"/>
          <w:sz w:val="21"/>
          <w:szCs w:val="21"/>
          <w:highlight w:val="none"/>
          <w:lang w:eastAsia="zh-CN"/>
        </w:rPr>
        <w:t>，</w:t>
      </w:r>
      <w:r>
        <w:rPr>
          <w:rFonts w:hint="eastAsia" w:asciiTheme="minorEastAsia" w:hAnsiTheme="minorEastAsia" w:eastAsiaTheme="minorEastAsia" w:cstheme="minorEastAsia"/>
          <w:spacing w:val="0"/>
          <w:sz w:val="21"/>
          <w:szCs w:val="21"/>
          <w:highlight w:val="none"/>
        </w:rPr>
        <w:t>适用于（本项目）</w:t>
      </w:r>
      <w:r>
        <w:rPr>
          <w:rFonts w:hint="eastAsia" w:asciiTheme="minorEastAsia" w:hAnsiTheme="minorEastAsia" w:cstheme="minorEastAsia"/>
          <w:spacing w:val="0"/>
          <w:sz w:val="21"/>
          <w:szCs w:val="21"/>
          <w:highlight w:val="none"/>
          <w:lang w:eastAsia="zh-CN"/>
        </w:rPr>
        <w:t>，</w:t>
      </w:r>
      <w:r>
        <w:rPr>
          <w:rFonts w:hint="eastAsia" w:asciiTheme="minorEastAsia" w:hAnsiTheme="minorEastAsia" w:eastAsiaTheme="minorEastAsia" w:cstheme="minorEastAsia"/>
          <w:spacing w:val="0"/>
          <w:sz w:val="21"/>
          <w:szCs w:val="21"/>
          <w:highlight w:val="none"/>
        </w:rPr>
        <w:t>按照《关于印发节能产品政府采购品目清单的通知》（财库〔2019〕19号）执行。环境标志产品，适用于（本项目），按照《关于印发环境标志产品政府采购品目清单的通知》（财库〔2019〕18号）执行。信息安全产品，适用于（本项目）。小型、微型企业，适用于（本项目）。监狱企业，适用于（本项目）。促进残疾人就业 ，适用于（本项目）。信用记录，适用于（本项目），按照下列规定执行：（1）投标人应在（填写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6、投标人的资格要求</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6.1法定条件：符合政府采购法第二十二条第一款规定的条件。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6.2特定条件：</w:t>
      </w:r>
      <w:r>
        <w:rPr>
          <w:rFonts w:hint="eastAsia" w:asciiTheme="minorEastAsia" w:hAnsiTheme="minorEastAsia" w:eastAsiaTheme="minorEastAsia" w:cstheme="minorEastAsia"/>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包：1</w:t>
      </w:r>
    </w:p>
    <w:tbl>
      <w:tblPr>
        <w:tblStyle w:val="8"/>
        <w:tblW w:w="5006"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746"/>
        <w:gridCol w:w="4580"/>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2249"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c>
          <w:tcPr>
            <w:tcW w:w="275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描述</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招标文件规定的其他资格证明文件</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所投货物属于医疗器械管理范畴，按照国家《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也可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所有证件必须在有效期内。</w:t>
            </w:r>
          </w:p>
        </w:tc>
      </w:tr>
    </w:tbl>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6.3是否接受联合体投标：不接受。</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※根据上述资格要求，投标文件中应提交的“投标人的资格及资信证明文件”详见招标文件第四章。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7、报名</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7.1报名期限：详见招标公告或更正公告（若有），若不一致，以更正公告（若有）为准。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7.2报名期限内，供应商应通过福建省政府采购网上公开信息系统的注册账号（免费注册）对本项目进行报名(请根据项目所在地，登录对应的福建省政府采购网上公开信息系统报名(即省本级网址/地市分网))，否则</w:t>
      </w:r>
      <w:r>
        <w:rPr>
          <w:rStyle w:val="10"/>
          <w:rFonts w:hint="eastAsia" w:asciiTheme="minorEastAsia" w:hAnsiTheme="minorEastAsia" w:eastAsiaTheme="minorEastAsia" w:cstheme="minorEastAsia"/>
          <w:b/>
          <w:spacing w:val="0"/>
          <w:sz w:val="21"/>
          <w:szCs w:val="21"/>
          <w:highlight w:val="none"/>
        </w:rPr>
        <w:t>投标将被拒绝。</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8、招标文件的获取</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8.1招标文件提供期限：详见招标公告或更正公告（若有），若不一致，以更正公告（若有）为准。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8.2获取地点及方式：报名后，通过福建省政府采购网上公开信息系统以下载方式获取。</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8.3、招标文件售价：0元。</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9、投标截止</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9.1投标截止时间：详见招标公告或更正公告（若有），若不一致，以更正公告（若有）为准。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9.2投标人应在投标截止时间前按照福建省政府采购网上公开信息系统设定的操作流程将电子投标文件上传至福建省政府采购网上公开信息系统，同时将</w:t>
      </w:r>
      <w:r>
        <w:rPr>
          <w:rStyle w:val="10"/>
          <w:rFonts w:hint="eastAsia" w:asciiTheme="minorEastAsia" w:hAnsiTheme="minorEastAsia" w:eastAsiaTheme="minorEastAsia" w:cstheme="minorEastAsia"/>
          <w:b/>
          <w:spacing w:val="0"/>
          <w:sz w:val="21"/>
          <w:szCs w:val="21"/>
          <w:highlight w:val="none"/>
        </w:rPr>
        <w:t>投标人的CA证书</w:t>
      </w:r>
      <w:r>
        <w:rPr>
          <w:rFonts w:hint="eastAsia" w:asciiTheme="minorEastAsia" w:hAnsiTheme="minorEastAsia" w:eastAsiaTheme="minorEastAsia" w:cstheme="minorEastAsia"/>
          <w:spacing w:val="0"/>
          <w:sz w:val="21"/>
          <w:szCs w:val="21"/>
          <w:highlight w:val="none"/>
        </w:rPr>
        <w:t>连同</w:t>
      </w:r>
      <w:r>
        <w:rPr>
          <w:rStyle w:val="10"/>
          <w:rFonts w:hint="eastAsia" w:asciiTheme="minorEastAsia" w:hAnsiTheme="minorEastAsia" w:eastAsiaTheme="minorEastAsia" w:cstheme="minorEastAsia"/>
          <w:b/>
          <w:spacing w:val="0"/>
          <w:sz w:val="21"/>
          <w:szCs w:val="21"/>
          <w:highlight w:val="none"/>
        </w:rPr>
        <w:t>密封的纸质投标文件</w:t>
      </w:r>
      <w:r>
        <w:rPr>
          <w:rFonts w:hint="eastAsia" w:asciiTheme="minorEastAsia" w:hAnsiTheme="minorEastAsia" w:eastAsiaTheme="minorEastAsia" w:cstheme="minorEastAsia"/>
          <w:spacing w:val="0"/>
          <w:sz w:val="21"/>
          <w:szCs w:val="21"/>
          <w:highlight w:val="none"/>
        </w:rPr>
        <w:t>送达招标文件第一章第10条载明的地点，否则</w:t>
      </w:r>
      <w:r>
        <w:rPr>
          <w:rStyle w:val="10"/>
          <w:rFonts w:hint="eastAsia" w:asciiTheme="minorEastAsia" w:hAnsiTheme="minorEastAsia" w:eastAsiaTheme="minorEastAsia" w:cstheme="minorEastAsia"/>
          <w:b/>
          <w:spacing w:val="0"/>
          <w:sz w:val="21"/>
          <w:szCs w:val="21"/>
          <w:highlight w:val="none"/>
        </w:rPr>
        <w:t>投标将被拒绝。</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10、开标时间及地点：详见招标公告或更正公告（若有），若不一致，以更正公告（若有）为准。</w:t>
      </w:r>
      <w:r>
        <w:rPr>
          <w:rStyle w:val="10"/>
          <w:rFonts w:hint="eastAsia" w:asciiTheme="minorEastAsia" w:hAnsiTheme="minorEastAsia" w:eastAsiaTheme="minorEastAsia" w:cstheme="minorEastAsia"/>
          <w:b/>
          <w:spacing w:val="0"/>
          <w:sz w:val="21"/>
          <w:szCs w:val="21"/>
          <w:highlight w:val="none"/>
        </w:rPr>
        <w:t> </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11、公告期限</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11.1招标公告的公告期限：自财政部和福建省财政厅指定的政府采购信息发布媒体最先发布公告之日起5个工作日。</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11.2招标文件公告期限：招标文件随同招标公告一并发布，其公告期限与本章第11.1条载明的期限保持一致。</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12、采购人：福建省福州结核病防治院</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地址：福州市仓山区湖湾路2号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联系方法：62627216</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13、代理机构：福建恒茂源工程管理有限公司</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地址：福州市连江县浦口镇塔头村天街2号8#</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联系方法：0591-8883586</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附1：账户信息</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504"/>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216" w:type="dxa"/>
            <w:tcBorders>
              <w:top w:val="single" w:color="000000" w:sz="4" w:space="0"/>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投标保证金账户</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216"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开户名称：</w:t>
            </w:r>
            <w:r>
              <w:rPr>
                <w:rFonts w:hint="eastAsia" w:asciiTheme="minorEastAsia" w:hAnsiTheme="minorEastAsia" w:eastAsiaTheme="minorEastAsia" w:cstheme="minorEastAsia"/>
                <w:spacing w:val="0"/>
                <w:sz w:val="21"/>
                <w:szCs w:val="21"/>
                <w:highlight w:val="none"/>
                <w:u w:val="single"/>
                <w:shd w:val="clear" w:fill="FFFFFF"/>
              </w:rPr>
              <w:t>福建恒茂源工程管理有限公司</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216"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开户银行：</w:t>
            </w:r>
            <w:r>
              <w:rPr>
                <w:rFonts w:hint="eastAsia" w:asciiTheme="minorEastAsia" w:hAnsiTheme="minorEastAsia" w:eastAsiaTheme="minorEastAsia" w:cstheme="minorEastAsia"/>
                <w:spacing w:val="0"/>
                <w:sz w:val="21"/>
                <w:szCs w:val="21"/>
                <w:highlight w:val="none"/>
                <w:u w:val="none"/>
              </w:rPr>
              <w:t>供应商在福建省政府采购网上公开信息系统报名后，根据其提示自行选择要缴交的投标保证金托管银行</w:t>
            </w:r>
            <w:r>
              <w:rPr>
                <w:rFonts w:hint="eastAsia" w:asciiTheme="minorEastAsia" w:hAnsiTheme="minorEastAsia" w:eastAsiaTheme="minorEastAsia" w:cstheme="minorEastAsia"/>
                <w:spacing w:val="0"/>
                <w:sz w:val="21"/>
                <w:szCs w:val="21"/>
                <w:highlight w:val="none"/>
              </w:rPr>
              <w:t>。</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216"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银行账号：</w:t>
            </w:r>
            <w:r>
              <w:rPr>
                <w:rFonts w:hint="eastAsia" w:asciiTheme="minorEastAsia" w:hAnsiTheme="minorEastAsia" w:eastAsiaTheme="minorEastAsia" w:cstheme="minorEastAsia"/>
                <w:spacing w:val="0"/>
                <w:sz w:val="21"/>
                <w:szCs w:val="21"/>
                <w:highlight w:val="none"/>
                <w:u w:val="none"/>
              </w:rPr>
              <w:t>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216"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特别提示</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216"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1、投标人应认真核对账户信息，将投标保证金汇入以上账户，并自行承担因汇错投标保证金而产生的一切后果。</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2、投标人在转账或电汇的凭证上应按照以下格式注明，以便核对：“（招标编号：***、合同包：***）的投标保证金”。</w:t>
            </w:r>
          </w:p>
        </w:tc>
      </w:tr>
    </w:tbl>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附2：采购标的一览表</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金额单位：人民币元</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924"/>
        <w:gridCol w:w="924"/>
        <w:gridCol w:w="1848"/>
        <w:gridCol w:w="924"/>
        <w:gridCol w:w="924"/>
        <w:gridCol w:w="924"/>
        <w:gridCol w:w="924"/>
        <w:gridCol w:w="924"/>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合同包</w:t>
            </w:r>
          </w:p>
        </w:tc>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品目号</w:t>
            </w:r>
          </w:p>
        </w:tc>
        <w:tc>
          <w:tcPr>
            <w:tcW w:w="1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采购标的</w:t>
            </w:r>
          </w:p>
        </w:tc>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允许进口</w:t>
            </w:r>
          </w:p>
        </w:tc>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数量</w:t>
            </w:r>
          </w:p>
        </w:tc>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品目号预算</w:t>
            </w:r>
          </w:p>
        </w:tc>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合同包预算</w:t>
            </w:r>
          </w:p>
        </w:tc>
        <w:tc>
          <w:tcPr>
            <w:tcW w:w="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投标保证金</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w:t>
            </w:r>
          </w:p>
        </w:tc>
        <w:tc>
          <w:tcPr>
            <w:tcW w:w="0" w:type="auto"/>
            <w:gridSpan w:val="5"/>
            <w:tcBorders>
              <w:top w:val="single" w:color="666666" w:sz="4" w:space="0"/>
              <w:left w:val="single" w:color="666666" w:sz="4" w:space="0"/>
              <w:bottom w:val="single" w:color="666666" w:sz="4" w:space="0"/>
              <w:right w:val="single" w:color="666666" w:sz="4" w:space="0"/>
            </w:tcBorders>
            <w:shd w:val="clear" w:color="auto" w:fill="FFFFFF"/>
            <w:vAlign w:val="center"/>
          </w:tcPr>
          <w:tbl>
            <w:tblPr>
              <w:tblStyle w:val="8"/>
              <w:tblW w:w="5000" w:type="pct"/>
              <w:jc w:val="center"/>
              <w:tblBorders>
                <w:top w:val="single" w:color="666666" w:sz="4" w:space="0"/>
                <w:left w:val="single" w:color="666666" w:sz="4" w:space="0"/>
                <w:bottom w:val="single" w:color="666666" w:sz="4" w:space="0"/>
                <w:right w:val="single"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54"/>
              <w:gridCol w:w="1675"/>
              <w:gridCol w:w="755"/>
              <w:gridCol w:w="755"/>
              <w:gridCol w:w="1585"/>
            </w:tblGrid>
            <w:tr>
              <w:tblPrEx>
                <w:tblBorders>
                  <w:top w:val="single" w:color="666666" w:sz="4" w:space="0"/>
                  <w:left w:val="single" w:color="666666" w:sz="4" w:space="0"/>
                  <w:bottom w:val="single" w:color="666666" w:sz="4" w:space="0"/>
                  <w:right w:val="single" w:color="666666" w:sz="4" w:space="0"/>
                  <w:insideH w:val="outset" w:color="auto" w:sz="6" w:space="0"/>
                  <w:insideV w:val="outset" w:color="auto" w:sz="6" w:space="0"/>
                </w:tblBorders>
                <w:tblCellMar>
                  <w:top w:w="0" w:type="dxa"/>
                  <w:left w:w="0" w:type="dxa"/>
                  <w:bottom w:w="0" w:type="dxa"/>
                  <w:right w:w="0" w:type="dxa"/>
                </w:tblCellMar>
              </w:tblPrEx>
              <w:trPr>
                <w:jc w:val="center"/>
              </w:trPr>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1-1</w:t>
                  </w:r>
                </w:p>
              </w:tc>
              <w:tc>
                <w:tcPr>
                  <w:tcW w:w="1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直线加速器</w:t>
                  </w:r>
                </w:p>
              </w:tc>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否</w:t>
                  </w:r>
                </w:p>
              </w:tc>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1（套）</w:t>
                  </w:r>
                </w:p>
              </w:tc>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34,900,000.0000</w:t>
                  </w:r>
                </w:p>
              </w:tc>
            </w:tr>
            <w:tr>
              <w:tblPrEx>
                <w:tblBorders>
                  <w:top w:val="single" w:color="666666" w:sz="4" w:space="0"/>
                  <w:left w:val="single" w:color="666666" w:sz="4" w:space="0"/>
                  <w:bottom w:val="single" w:color="666666" w:sz="4" w:space="0"/>
                  <w:right w:val="single" w:color="666666" w:sz="4" w:space="0"/>
                  <w:insideH w:val="outset" w:color="auto" w:sz="6" w:space="0"/>
                  <w:insideV w:val="outset" w:color="auto" w:sz="6" w:space="0"/>
                </w:tblBorders>
                <w:tblCellMar>
                  <w:top w:w="0" w:type="dxa"/>
                  <w:left w:w="0" w:type="dxa"/>
                  <w:bottom w:w="0" w:type="dxa"/>
                  <w:right w:w="0" w:type="dxa"/>
                </w:tblCellMar>
              </w:tblPrEx>
              <w:trPr>
                <w:jc w:val="center"/>
              </w:trPr>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1-2</w:t>
                  </w:r>
                </w:p>
              </w:tc>
              <w:tc>
                <w:tcPr>
                  <w:tcW w:w="15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大孔径模拟定位CT</w:t>
                  </w:r>
                </w:p>
              </w:tc>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否</w:t>
                  </w:r>
                </w:p>
              </w:tc>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1（套）</w:t>
                  </w:r>
                </w:p>
              </w:tc>
              <w:tc>
                <w:tcPr>
                  <w:tcW w:w="75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5,100,000.0000</w:t>
                  </w:r>
                </w:p>
              </w:tc>
            </w:tr>
          </w:tbl>
          <w:p>
            <w:pPr>
              <w:jc w:val="center"/>
              <w:rPr>
                <w:rFonts w:hint="eastAsia" w:asciiTheme="minorEastAsia" w:hAnsiTheme="minorEastAsia" w:eastAsiaTheme="minorEastAsia" w:cstheme="minorEastAsia"/>
                <w:sz w:val="21"/>
                <w:szCs w:val="21"/>
                <w:highlight w:val="none"/>
              </w:rPr>
            </w:pP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40000000</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400000</w:t>
            </w:r>
          </w:p>
        </w:tc>
      </w:tr>
    </w:tbl>
    <w:p>
      <w:pPr>
        <w:rPr>
          <w:rStyle w:val="10"/>
          <w:rFonts w:hint="eastAsia" w:ascii="宋体" w:hAnsi="宋体" w:eastAsia="宋体" w:cs="宋体"/>
          <w:b/>
          <w:spacing w:val="0"/>
          <w:sz w:val="21"/>
          <w:szCs w:val="21"/>
          <w:highlight w:val="none"/>
        </w:rPr>
      </w:pPr>
      <w:r>
        <w:rPr>
          <w:rStyle w:val="10"/>
          <w:rFonts w:hint="eastAsia" w:ascii="宋体" w:hAnsi="宋体" w:eastAsia="宋体" w:cs="宋体"/>
          <w:b/>
          <w:spacing w:val="0"/>
          <w:sz w:val="21"/>
          <w:szCs w:val="21"/>
          <w:highlight w:val="none"/>
        </w:rPr>
        <w:br w:type="page"/>
      </w:r>
    </w:p>
    <w:p>
      <w:pPr>
        <w:pStyle w:val="7"/>
        <w:keepNext w:val="0"/>
        <w:keepLines w:val="0"/>
        <w:widowControl/>
        <w:suppressLineNumbers w:val="0"/>
        <w:spacing w:before="60" w:beforeAutospacing="0" w:after="60" w:afterAutospacing="0"/>
        <w:ind w:left="0" w:right="0" w:firstLine="0"/>
        <w:jc w:val="center"/>
        <w:rPr>
          <w:sz w:val="20"/>
          <w:szCs w:val="20"/>
          <w:highlight w:val="none"/>
        </w:rPr>
      </w:pPr>
      <w:r>
        <w:rPr>
          <w:rFonts w:hint="eastAsia" w:ascii="宋体" w:hAnsi="宋体" w:eastAsia="宋体" w:cs="宋体"/>
          <w:b/>
          <w:bCs/>
          <w:kern w:val="0"/>
          <w:sz w:val="32"/>
          <w:szCs w:val="32"/>
          <w:highlight w:val="none"/>
          <w:lang w:val="en-US" w:eastAsia="zh-CN" w:bidi="ar-SA"/>
        </w:rPr>
        <w:t>第二章   投标人须知前附表（表1、</w:t>
      </w:r>
      <w:r>
        <w:rPr>
          <w:rFonts w:hint="default" w:ascii="宋体" w:hAnsi="宋体" w:eastAsia="宋体" w:cs="宋体"/>
          <w:b/>
          <w:bCs/>
          <w:kern w:val="0"/>
          <w:sz w:val="32"/>
          <w:szCs w:val="32"/>
          <w:highlight w:val="none"/>
          <w:lang w:val="en-US" w:eastAsia="zh-CN" w:bidi="ar-SA"/>
        </w:rPr>
        <w:t>2</w:t>
      </w:r>
      <w:r>
        <w:rPr>
          <w:rFonts w:hint="eastAsia" w:ascii="宋体" w:hAnsi="宋体" w:eastAsia="宋体" w:cs="宋体"/>
          <w:b/>
          <w:bCs/>
          <w:kern w:val="0"/>
          <w:sz w:val="32"/>
          <w:szCs w:val="32"/>
          <w:highlight w:val="none"/>
          <w:lang w:val="en-US" w:eastAsia="zh-CN" w:bidi="ar-SA"/>
        </w:rPr>
        <w:t>）</w:t>
      </w:r>
    </w:p>
    <w:p>
      <w:pPr>
        <w:pStyle w:val="7"/>
        <w:keepNext w:val="0"/>
        <w:keepLines w:val="0"/>
        <w:widowControl/>
        <w:suppressLineNumbers w:val="0"/>
        <w:spacing w:before="60" w:beforeAutospacing="0" w:after="60" w:afterAutospacing="0"/>
        <w:ind w:left="0" w:right="0" w:firstLine="0"/>
        <w:rPr>
          <w:highlight w:val="none"/>
        </w:rPr>
      </w:pPr>
      <w:r>
        <w:rPr>
          <w:spacing w:val="0"/>
          <w:sz w:val="19"/>
          <w:szCs w:val="19"/>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表1</w:t>
      </w:r>
    </w:p>
    <w:tbl>
      <w:tblPr>
        <w:tblStyle w:val="8"/>
        <w:tblW w:w="0" w:type="auto"/>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60"/>
        <w:gridCol w:w="1262"/>
        <w:gridCol w:w="6552"/>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8568" w:type="dxa"/>
            <w:gridSpan w:val="3"/>
            <w:tcBorders>
              <w:top w:val="single" w:color="000000" w:sz="4" w:space="0"/>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特别提示：本表与招标文件对应章节的内容若不一致，以本表为准。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项号</w:t>
            </w:r>
          </w:p>
        </w:tc>
        <w:tc>
          <w:tcPr>
            <w:tcW w:w="1272" w:type="dxa"/>
            <w:tcBorders>
              <w:top w:val="single" w:color="000000" w:sz="4" w:space="0"/>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招标文件</w:t>
            </w:r>
          </w:p>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（第三章）</w:t>
            </w:r>
          </w:p>
        </w:tc>
        <w:tc>
          <w:tcPr>
            <w:tcW w:w="6912" w:type="dxa"/>
            <w:tcBorders>
              <w:top w:val="single" w:color="000000" w:sz="4" w:space="0"/>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编列内容</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6.1</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是否组织现场考察或召开开标前答疑会：</w:t>
            </w:r>
            <w:r>
              <w:rPr>
                <w:rFonts w:hint="eastAsia" w:asciiTheme="minorEastAsia" w:hAnsiTheme="minorEastAsia" w:eastAsiaTheme="minorEastAsia" w:cstheme="minorEastAsia"/>
                <w:spacing w:val="0"/>
                <w:sz w:val="21"/>
                <w:szCs w:val="21"/>
                <w:highlight w:val="none"/>
              </w:rPr>
              <w:t>否。</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10.4</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投标文件的份数：</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（1）纸质投标文件：</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①资格及资信证明部分的正本</w:t>
            </w:r>
            <w:r>
              <w:rPr>
                <w:rFonts w:hint="eastAsia" w:asciiTheme="minorEastAsia" w:hAnsiTheme="minorEastAsia" w:eastAsiaTheme="minorEastAsia" w:cstheme="minorEastAsia"/>
                <w:spacing w:val="0"/>
                <w:sz w:val="21"/>
                <w:szCs w:val="21"/>
                <w:highlight w:val="none"/>
                <w:u w:val="single"/>
              </w:rPr>
              <w:t>1</w:t>
            </w:r>
            <w:r>
              <w:rPr>
                <w:rFonts w:hint="eastAsia" w:asciiTheme="minorEastAsia" w:hAnsiTheme="minorEastAsia" w:eastAsiaTheme="minorEastAsia" w:cstheme="minorEastAsia"/>
                <w:spacing w:val="0"/>
                <w:sz w:val="21"/>
                <w:szCs w:val="21"/>
                <w:highlight w:val="none"/>
              </w:rPr>
              <w:t>份、副本</w:t>
            </w:r>
            <w:r>
              <w:rPr>
                <w:rFonts w:hint="eastAsia" w:asciiTheme="minorEastAsia" w:hAnsiTheme="minorEastAsia" w:cstheme="minorEastAsia"/>
                <w:spacing w:val="0"/>
                <w:sz w:val="21"/>
                <w:szCs w:val="21"/>
                <w:highlight w:val="none"/>
                <w:u w:val="single"/>
                <w:lang w:val="en-US" w:eastAsia="zh-CN"/>
              </w:rPr>
              <w:t>0</w:t>
            </w:r>
            <w:r>
              <w:rPr>
                <w:rFonts w:hint="eastAsia" w:asciiTheme="minorEastAsia" w:hAnsiTheme="minorEastAsia" w:eastAsiaTheme="minorEastAsia" w:cstheme="minorEastAsia"/>
                <w:spacing w:val="0"/>
                <w:sz w:val="21"/>
                <w:szCs w:val="21"/>
                <w:highlight w:val="none"/>
              </w:rPr>
              <w:t>份，报价部分的正本</w:t>
            </w:r>
            <w:r>
              <w:rPr>
                <w:rFonts w:hint="eastAsia" w:asciiTheme="minorEastAsia" w:hAnsiTheme="minorEastAsia" w:eastAsiaTheme="minorEastAsia" w:cstheme="minorEastAsia"/>
                <w:spacing w:val="0"/>
                <w:sz w:val="21"/>
                <w:szCs w:val="21"/>
                <w:highlight w:val="none"/>
                <w:u w:val="single"/>
              </w:rPr>
              <w:t>1</w:t>
            </w:r>
            <w:r>
              <w:rPr>
                <w:rFonts w:hint="eastAsia" w:asciiTheme="minorEastAsia" w:hAnsiTheme="minorEastAsia" w:eastAsiaTheme="minorEastAsia" w:cstheme="minorEastAsia"/>
                <w:spacing w:val="0"/>
                <w:sz w:val="21"/>
                <w:szCs w:val="21"/>
                <w:highlight w:val="none"/>
              </w:rPr>
              <w:t>份、副本</w:t>
            </w:r>
            <w:r>
              <w:rPr>
                <w:rFonts w:hint="eastAsia" w:asciiTheme="minorEastAsia" w:hAnsiTheme="minorEastAsia" w:cstheme="minorEastAsia"/>
                <w:spacing w:val="0"/>
                <w:sz w:val="21"/>
                <w:szCs w:val="21"/>
                <w:highlight w:val="none"/>
                <w:u w:val="single"/>
                <w:lang w:val="en-US" w:eastAsia="zh-CN"/>
              </w:rPr>
              <w:t>0</w:t>
            </w:r>
            <w:r>
              <w:rPr>
                <w:rFonts w:hint="eastAsia" w:asciiTheme="minorEastAsia" w:hAnsiTheme="minorEastAsia" w:eastAsiaTheme="minorEastAsia" w:cstheme="minorEastAsia"/>
                <w:spacing w:val="0"/>
                <w:sz w:val="21"/>
                <w:szCs w:val="21"/>
                <w:highlight w:val="none"/>
              </w:rPr>
              <w:t>份，技术商务部分的正本1份、副本</w:t>
            </w:r>
            <w:r>
              <w:rPr>
                <w:rFonts w:hint="eastAsia" w:asciiTheme="minorEastAsia" w:hAnsiTheme="minorEastAsia" w:cstheme="minorEastAsia"/>
                <w:spacing w:val="0"/>
                <w:sz w:val="21"/>
                <w:szCs w:val="21"/>
                <w:highlight w:val="none"/>
                <w:u w:val="single"/>
                <w:lang w:val="en-US" w:eastAsia="zh-CN"/>
              </w:rPr>
              <w:t>0</w:t>
            </w:r>
            <w:r>
              <w:rPr>
                <w:rFonts w:hint="eastAsia" w:asciiTheme="minorEastAsia" w:hAnsiTheme="minorEastAsia" w:eastAsiaTheme="minorEastAsia" w:cstheme="minorEastAsia"/>
                <w:spacing w:val="0"/>
                <w:sz w:val="21"/>
                <w:szCs w:val="21"/>
                <w:highlight w:val="none"/>
              </w:rPr>
              <w:t>份。</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②可读介质（光盘或U盘）</w:t>
            </w:r>
            <w:r>
              <w:rPr>
                <w:rFonts w:hint="eastAsia" w:asciiTheme="minorEastAsia" w:hAnsiTheme="minorEastAsia" w:cstheme="minorEastAsia"/>
                <w:spacing w:val="0"/>
                <w:sz w:val="21"/>
                <w:szCs w:val="21"/>
                <w:highlight w:val="none"/>
                <w:u w:val="single"/>
                <w:lang w:val="en-US" w:eastAsia="zh-CN"/>
              </w:rPr>
              <w:t>1</w:t>
            </w:r>
            <w:r>
              <w:rPr>
                <w:rFonts w:hint="eastAsia" w:asciiTheme="minorEastAsia" w:hAnsiTheme="minorEastAsia" w:eastAsiaTheme="minorEastAsia" w:cstheme="minorEastAsia"/>
                <w:spacing w:val="0"/>
                <w:sz w:val="21"/>
                <w:szCs w:val="21"/>
                <w:highlight w:val="none"/>
              </w:rPr>
              <w:t>份：投标人应将其上传至福建省政府采购网上公开信息系统的电子投标文件在该可读介质中另存</w:t>
            </w:r>
            <w:r>
              <w:rPr>
                <w:rFonts w:hint="eastAsia" w:asciiTheme="minorEastAsia" w:hAnsiTheme="minorEastAsia" w:cstheme="minorEastAsia"/>
                <w:spacing w:val="0"/>
                <w:sz w:val="21"/>
                <w:szCs w:val="21"/>
                <w:highlight w:val="none"/>
                <w:u w:val="single"/>
                <w:lang w:val="en-US" w:eastAsia="zh-CN"/>
              </w:rPr>
              <w:t>1</w:t>
            </w:r>
            <w:r>
              <w:rPr>
                <w:rFonts w:hint="eastAsia" w:asciiTheme="minorEastAsia" w:hAnsiTheme="minorEastAsia" w:eastAsiaTheme="minorEastAsia" w:cstheme="minorEastAsia"/>
                <w:spacing w:val="0"/>
                <w:sz w:val="21"/>
                <w:szCs w:val="21"/>
                <w:highlight w:val="none"/>
              </w:rPr>
              <w:t>份。</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（2）电子投标文件：详见表2《关于电子招标投标活动的专门规定》。</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10.5-（2）-③</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允许散装或活页装订的内容或材料：</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（1）投标文件的补充、修改或撤回；</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（2）其他内容或材料：无。</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10.7-（1）</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是否允许中标人将本项目的非主体、非关键性工作进行分包：</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不允许。</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10.8-（1）</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投标有效期</w:t>
            </w:r>
            <w:r>
              <w:rPr>
                <w:rFonts w:hint="eastAsia" w:asciiTheme="minorEastAsia" w:hAnsiTheme="minorEastAsia" w:eastAsiaTheme="minorEastAsia" w:cstheme="minorEastAsia"/>
                <w:spacing w:val="0"/>
                <w:sz w:val="21"/>
                <w:szCs w:val="21"/>
                <w:highlight w:val="none"/>
              </w:rPr>
              <w:t>：投标截止时间起90个日历日。</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10.10-（2）</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密封及其标记的具体形式：</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（1）全部纸质投标文件（包括正本、副本及可读介质）均应密封，否则</w:t>
            </w:r>
            <w:r>
              <w:rPr>
                <w:rStyle w:val="10"/>
                <w:rFonts w:hint="eastAsia" w:asciiTheme="minorEastAsia" w:hAnsiTheme="minorEastAsia" w:eastAsiaTheme="minorEastAsia" w:cstheme="minorEastAsia"/>
                <w:b/>
                <w:spacing w:val="0"/>
                <w:sz w:val="21"/>
                <w:szCs w:val="21"/>
                <w:highlight w:val="none"/>
              </w:rPr>
              <w:t>投标将被拒绝。</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（2）密封的外包装应至少标记“项目名称、招标编号、所投合同包、投标人的全称”等内容，否则造成投标文件误投、遗漏或提前拆封的，</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不承担责任。</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（3）其他：无。</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12.1</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本项目推荐合同包1中标候选人数为1家。</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60" w:type="dxa"/>
              <w:left w:w="120" w:type="dxa"/>
              <w:bottom w:w="60" w:type="dxa"/>
              <w:right w:w="120" w:type="dxa"/>
            </w:tcMar>
            <w:vAlign w:val="center"/>
          </w:tcPr>
          <w:p>
            <w:pPr>
              <w:pStyle w:val="7"/>
              <w:keepNext w:val="0"/>
              <w:keepLines w:val="0"/>
              <w:widowControl/>
              <w:suppressLineNumbers w:val="0"/>
              <w:spacing w:before="0" w:beforeAutospacing="0" w:after="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8</w:t>
            </w:r>
          </w:p>
        </w:tc>
        <w:tc>
          <w:tcPr>
            <w:tcW w:w="1272" w:type="dxa"/>
            <w:tcBorders>
              <w:top w:val="nil"/>
              <w:left w:val="nil"/>
              <w:bottom w:val="single" w:color="000000" w:sz="4" w:space="0"/>
              <w:right w:val="single" w:color="000000" w:sz="4" w:space="0"/>
            </w:tcBorders>
            <w:shd w:val="clear" w:color="auto" w:fill="FFFFFF"/>
            <w:tcMar>
              <w:top w:w="60" w:type="dxa"/>
              <w:left w:w="120" w:type="dxa"/>
              <w:bottom w:w="60" w:type="dxa"/>
              <w:right w:w="120" w:type="dxa"/>
            </w:tcMar>
            <w:vAlign w:val="center"/>
          </w:tcPr>
          <w:p>
            <w:pPr>
              <w:pStyle w:val="7"/>
              <w:keepNext w:val="0"/>
              <w:keepLines w:val="0"/>
              <w:widowControl/>
              <w:suppressLineNumbers w:val="0"/>
              <w:spacing w:before="0" w:beforeAutospacing="0" w:after="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12.2</w:t>
            </w:r>
          </w:p>
        </w:tc>
        <w:tc>
          <w:tcPr>
            <w:tcW w:w="6912" w:type="dxa"/>
            <w:tcBorders>
              <w:top w:val="nil"/>
              <w:left w:val="nil"/>
              <w:bottom w:val="single" w:color="000000" w:sz="4" w:space="0"/>
              <w:right w:val="single" w:color="000000" w:sz="4" w:space="0"/>
            </w:tcBorders>
            <w:shd w:val="clear" w:color="auto" w:fill="FFFFFF"/>
            <w:tcMar>
              <w:top w:w="60" w:type="dxa"/>
              <w:left w:w="120" w:type="dxa"/>
              <w:bottom w:w="60" w:type="dxa"/>
              <w:right w:w="120" w:type="dxa"/>
            </w:tcMar>
            <w:vAlign w:val="center"/>
          </w:tcPr>
          <w:p>
            <w:pPr>
              <w:pStyle w:val="7"/>
              <w:keepNext w:val="0"/>
              <w:keepLines w:val="0"/>
              <w:widowControl/>
              <w:suppressLineNumbers w:val="0"/>
              <w:spacing w:before="0" w:beforeAutospacing="0" w:after="0" w:afterAutospacing="0"/>
              <w:ind w:left="0" w:right="0" w:firstLine="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本项目中标人的确定（以合同包为单位）：</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（1）采购人应在政府采购招投标管理办法规定的时限内确定中标人。</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（2）若出现中标候选人并列情形，则按照下列方式确定中标人：</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①招标文件规定的方式：无。。</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②若本款第①点规定方式为“无”，则按照下列方式确定：无。。</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③若本款第①、②点规定方式均为“无”，则按照下列方式确定：随机抽取。</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（3）本项目确定的中标人家数：</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①本项目确定合同包1中标人数为1家；</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②若出现中标候选人符合法定家数但不足本款第①点规定中标人家数情形，则按照中标候选人的实际家数确定中标人。</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15.1-（2）</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质疑函原件应采用下列方式提交：</w:t>
            </w:r>
            <w:r>
              <w:rPr>
                <w:rFonts w:hint="eastAsia" w:asciiTheme="minorEastAsia" w:hAnsiTheme="minorEastAsia" w:eastAsiaTheme="minorEastAsia" w:cstheme="minorEastAsia"/>
                <w:spacing w:val="0"/>
                <w:sz w:val="21"/>
                <w:szCs w:val="21"/>
                <w:highlight w:val="none"/>
              </w:rPr>
              <w:t>书面形式。</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15.4</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招标文件的质疑</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（1）潜在投标人可在质疑时效期间内对招标文件以书面形式提出质疑。</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（2）质疑时效期间：</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①在招标文件公告期限内：自招标文件首次下载之日起7个工作日内向</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提出，招标文件公告期限、首次下载之日均以福建省政府采购网上公开信息系统记载的为准。</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②在招标文件公告期限截止后至招标文件提供期限届满前的期间内：自招标文件公告期限届满之日起7个工作日内向</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提出，招标文件公告期限、招标文件提供期限均以福建省政府采购网上公开信息系统记载的为准。</w:t>
            </w:r>
          </w:p>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※除上述规定外，对招标文件提出的质疑还应符合招标文件第三章第15.1条的有关规定。</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16.1</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监督管理部门：</w:t>
            </w:r>
            <w:r>
              <w:rPr>
                <w:rFonts w:hint="eastAsia" w:asciiTheme="minorEastAsia" w:hAnsiTheme="minorEastAsia" w:eastAsiaTheme="minorEastAsia" w:cstheme="minorEastAsia"/>
                <w:spacing w:val="0"/>
                <w:sz w:val="21"/>
                <w:szCs w:val="21"/>
                <w:highlight w:val="none"/>
              </w:rPr>
              <w:t>福州市财政局</w:t>
            </w:r>
            <w:r>
              <w:rPr>
                <w:rStyle w:val="10"/>
                <w:rFonts w:hint="eastAsia" w:asciiTheme="minorEastAsia" w:hAnsiTheme="minorEastAsia" w:eastAsiaTheme="minorEastAsia" w:cstheme="minorEastAsia"/>
                <w:b/>
                <w:color w:val="337AB7"/>
                <w:spacing w:val="0"/>
                <w:sz w:val="21"/>
                <w:szCs w:val="21"/>
                <w:highlight w:val="none"/>
                <w:u w:val="none"/>
              </w:rPr>
              <w:t>（仅限依法进行政府采购的货物或服务类项目）</w:t>
            </w:r>
            <w:r>
              <w:rPr>
                <w:rFonts w:hint="eastAsia" w:asciiTheme="minorEastAsia" w:hAnsiTheme="minorEastAsia" w:eastAsiaTheme="minorEastAsia" w:cstheme="minorEastAsia"/>
                <w:spacing w:val="0"/>
                <w:sz w:val="21"/>
                <w:szCs w:val="21"/>
                <w:highlight w:val="none"/>
              </w:rPr>
              <w:t>。</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18.1</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财政部和福建省财政厅指定的政府采购信息发布媒体（以下简称：“指定媒体”）：</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（1）中国政府采购网，网址www.ccgp.gov.cn</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（2）中国政府采购网福建分网（福建省政府采购网），网址zfcg.czt.fujian.gov.cn</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※除招标文件第一章第11.1条规定情形外，若出现上述指定媒体信息不一致情形，应以中国政府采购网福建分网（福建省政府采购网）发布的为准。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w:t>
            </w:r>
          </w:p>
        </w:tc>
        <w:tc>
          <w:tcPr>
            <w:tcW w:w="127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19</w:t>
            </w:r>
          </w:p>
        </w:tc>
        <w:tc>
          <w:tcPr>
            <w:tcW w:w="6912"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其他事项：</w:t>
            </w:r>
          </w:p>
          <w:p>
            <w:pPr>
              <w:pStyle w:val="7"/>
              <w:keepNext w:val="0"/>
              <w:keepLines w:val="0"/>
              <w:widowControl/>
              <w:suppressLineNumbers w:val="0"/>
              <w:wordWrap w:val="0"/>
              <w:spacing w:before="0" w:beforeAutospacing="0" w:after="0" w:afterAutospacing="0" w:line="348" w:lineRule="atLeast"/>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(1)本项目代理服务费由</w:t>
            </w:r>
            <w:r>
              <w:rPr>
                <w:rStyle w:val="10"/>
                <w:rFonts w:hint="eastAsia" w:asciiTheme="minorEastAsia" w:hAnsiTheme="minorEastAsia" w:cstheme="minorEastAsia"/>
                <w:b/>
                <w:spacing w:val="0"/>
                <w:sz w:val="21"/>
                <w:szCs w:val="21"/>
                <w:highlight w:val="none"/>
                <w:lang w:val="en-US" w:eastAsia="zh-CN"/>
              </w:rPr>
              <w:t>中标人</w:t>
            </w:r>
            <w:r>
              <w:rPr>
                <w:rStyle w:val="10"/>
                <w:rFonts w:hint="eastAsia" w:asciiTheme="minorEastAsia" w:hAnsiTheme="minorEastAsia" w:eastAsiaTheme="minorEastAsia" w:cstheme="minorEastAsia"/>
                <w:b/>
                <w:spacing w:val="0"/>
                <w:sz w:val="21"/>
                <w:szCs w:val="21"/>
                <w:highlight w:val="none"/>
              </w:rPr>
              <w:t>支付。</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(2)其他：</w:t>
            </w:r>
            <w:r>
              <w:rPr>
                <w:rFonts w:hint="eastAsia" w:asciiTheme="minorEastAsia" w:hAnsiTheme="minorEastAsia" w:eastAsiaTheme="minorEastAsia" w:cstheme="minorEastAsia"/>
                <w:spacing w:val="0"/>
                <w:sz w:val="21"/>
                <w:szCs w:val="21"/>
                <w:highlight w:val="none"/>
              </w:rPr>
              <w:t>（2.1）中标人退保证金：中标人与采购单位双方签订合同并盖章后，并在规定时间内上传政府采购系统备案。纸质合同送达福建恒茂源工程管理有限公司留存备案一份。（2.2）收费标准以单个合同包的中标总金额为准，按差额定率累进法计取。招标代理服务收费的标准：100(万元)以下收费费率标准: 1.50%，100-500 (万元)收费费率标准:</w:t>
            </w:r>
            <w:r>
              <w:rPr>
                <w:rFonts w:hint="eastAsia" w:asciiTheme="minorEastAsia" w:hAnsiTheme="minorEastAsia" w:cstheme="minorEastAsia"/>
                <w:spacing w:val="0"/>
                <w:sz w:val="21"/>
                <w:szCs w:val="21"/>
                <w:highlight w:val="none"/>
                <w:lang w:val="en-US" w:eastAsia="zh-CN"/>
              </w:rPr>
              <w:t>1.1</w:t>
            </w:r>
            <w:r>
              <w:rPr>
                <w:rFonts w:hint="eastAsia" w:asciiTheme="minorEastAsia" w:hAnsiTheme="minorEastAsia" w:eastAsiaTheme="minorEastAsia" w:cstheme="minorEastAsia"/>
                <w:spacing w:val="0"/>
                <w:sz w:val="21"/>
                <w:szCs w:val="21"/>
                <w:highlight w:val="none"/>
              </w:rPr>
              <w:t>%，500-1000(万元)收费费率标准:0.</w:t>
            </w:r>
            <w:r>
              <w:rPr>
                <w:rFonts w:hint="eastAsia" w:asciiTheme="minorEastAsia" w:hAnsiTheme="minorEastAsia" w:cstheme="minorEastAsia"/>
                <w:spacing w:val="0"/>
                <w:sz w:val="21"/>
                <w:szCs w:val="21"/>
                <w:highlight w:val="none"/>
                <w:lang w:val="en-US" w:eastAsia="zh-CN"/>
              </w:rPr>
              <w:t>8</w:t>
            </w:r>
            <w:r>
              <w:rPr>
                <w:rFonts w:hint="eastAsia" w:asciiTheme="minorEastAsia" w:hAnsiTheme="minorEastAsia" w:eastAsiaTheme="minorEastAsia" w:cstheme="minorEastAsia"/>
                <w:spacing w:val="0"/>
                <w:sz w:val="21"/>
                <w:szCs w:val="21"/>
                <w:highlight w:val="none"/>
              </w:rPr>
              <w:t>%，1000-5000(万元)收费费率标准:0.</w:t>
            </w:r>
            <w:r>
              <w:rPr>
                <w:rFonts w:hint="eastAsia" w:asciiTheme="minorEastAsia" w:hAnsiTheme="minorEastAsia" w:cstheme="minorEastAsia"/>
                <w:spacing w:val="0"/>
                <w:sz w:val="21"/>
                <w:szCs w:val="21"/>
                <w:highlight w:val="none"/>
                <w:lang w:val="en-US" w:eastAsia="zh-CN"/>
              </w:rPr>
              <w:t>5</w:t>
            </w:r>
            <w:r>
              <w:rPr>
                <w:rFonts w:hint="eastAsia" w:asciiTheme="minorEastAsia" w:hAnsiTheme="minorEastAsia" w:eastAsiaTheme="minorEastAsia" w:cstheme="minorEastAsia"/>
                <w:spacing w:val="0"/>
                <w:sz w:val="21"/>
                <w:szCs w:val="21"/>
                <w:highlight w:val="none"/>
              </w:rPr>
              <w:t>%。 以下为招标代理服务费缴交银行帐号： 账户信息： 开户名：福建恒茂源工程管理有限公司；开户行：中国工商银行福州市晋安支行；帐 号：1402 0281 1960 0095 820 。（2.3）质疑受理的其它要求：a.供应商递交质疑函时需提供本项目报名成功的页面截图（体现报名时间），否则将不被认定为潜在供应商，其质疑将不予受理。b.在法定质疑期内供应商须一次性提出针对同一采购程序环节的质疑，若供应商多次对同一采购程序环节提出质疑的，采购代理机构将不予以受理。(2.4)所有参与政府采购活动的人员要主动向采购代理机构报告14天内个人去向及身体健康状况，主动测量体温并出示本人健康码，保持安全社交距离，全程佩戴口罩;涉及省外中、高风险地区的人员，应符合来(返)闽的疫情防控要求，并持有本人</w:t>
            </w:r>
            <w:r>
              <w:rPr>
                <w:rFonts w:hint="eastAsia" w:asciiTheme="minorEastAsia" w:hAnsiTheme="minorEastAsia" w:cstheme="minorEastAsia"/>
                <w:spacing w:val="0"/>
                <w:sz w:val="21"/>
                <w:szCs w:val="21"/>
                <w:highlight w:val="none"/>
                <w:lang w:val="en-US" w:eastAsia="zh-CN"/>
              </w:rPr>
              <w:t>48</w:t>
            </w:r>
            <w:r>
              <w:rPr>
                <w:rFonts w:hint="eastAsia" w:asciiTheme="minorEastAsia" w:hAnsiTheme="minorEastAsia" w:eastAsiaTheme="minorEastAsia" w:cstheme="minorEastAsia"/>
                <w:spacing w:val="0"/>
                <w:sz w:val="21"/>
                <w:szCs w:val="21"/>
                <w:highlight w:val="none"/>
              </w:rPr>
              <w:t>小时内核酸检测阴性结果的报告单，由采购人或采购代理机构负责拍照备查。若不予配合，将拒绝接收响应文件，并登记上报。在参与政府采购活动中因故意隐瞒个人事实，伪造健康码、核酸检测单而造成不良后果的，按个人及单位严重失信行为处理;造成严重后果的，将依法追究责任。</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1656" w:type="dxa"/>
            <w:gridSpan w:val="2"/>
            <w:tcBorders>
              <w:top w:val="nil"/>
              <w:left w:val="single" w:color="000000" w:sz="4" w:space="0"/>
              <w:bottom w:val="single" w:color="000000" w:sz="4" w:space="0"/>
              <w:right w:val="single" w:color="000000" w:sz="4" w:space="0"/>
            </w:tcBorders>
            <w:shd w:val="clear" w:color="auto" w:fill="FFFFFF"/>
            <w:tcMar>
              <w:top w:w="60" w:type="dxa"/>
              <w:left w:w="120" w:type="dxa"/>
              <w:bottom w:w="60" w:type="dxa"/>
              <w:right w:w="120" w:type="dxa"/>
            </w:tcMar>
            <w:vAlign w:val="center"/>
          </w:tcPr>
          <w:p>
            <w:pPr>
              <w:pStyle w:val="7"/>
              <w:keepNext w:val="0"/>
              <w:keepLines w:val="0"/>
              <w:widowControl/>
              <w:suppressLineNumbers w:val="0"/>
              <w:spacing w:before="0" w:beforeAutospacing="0" w:after="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备注</w:t>
            </w:r>
          </w:p>
        </w:tc>
        <w:tc>
          <w:tcPr>
            <w:tcW w:w="6912" w:type="dxa"/>
            <w:tcBorders>
              <w:top w:val="nil"/>
              <w:left w:val="nil"/>
              <w:bottom w:val="single" w:color="000000" w:sz="4" w:space="0"/>
              <w:right w:val="single" w:color="000000" w:sz="4" w:space="0"/>
            </w:tcBorders>
            <w:shd w:val="clear" w:color="auto" w:fill="FFFFFF"/>
            <w:tcMar>
              <w:top w:w="60" w:type="dxa"/>
              <w:left w:w="120" w:type="dxa"/>
              <w:bottom w:w="60" w:type="dxa"/>
              <w:right w:w="120" w:type="dxa"/>
            </w:tcMar>
            <w:vAlign w:val="center"/>
          </w:tcPr>
          <w:p>
            <w:pPr>
              <w:pStyle w:val="7"/>
              <w:keepNext w:val="0"/>
              <w:keepLines w:val="0"/>
              <w:widowControl/>
              <w:suppressLineNumbers w:val="0"/>
              <w:spacing w:before="0" w:beforeAutospacing="0" w:after="0" w:afterAutospacing="0"/>
              <w:ind w:left="0" w:right="0" w:firstLine="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后有表2，请勿遗漏。</w:t>
            </w:r>
          </w:p>
        </w:tc>
      </w:tr>
    </w:tbl>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表2</w:t>
      </w:r>
    </w:p>
    <w:tbl>
      <w:tblPr>
        <w:tblStyle w:val="8"/>
        <w:tblW w:w="0" w:type="auto"/>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384"/>
        <w:gridCol w:w="8090"/>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8892" w:type="dxa"/>
            <w:gridSpan w:val="2"/>
            <w:tcBorders>
              <w:top w:val="single" w:color="000000" w:sz="4" w:space="0"/>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关于电子招标投标活动的专门规定</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序号</w:t>
            </w:r>
          </w:p>
        </w:tc>
        <w:tc>
          <w:tcPr>
            <w:tcW w:w="8508" w:type="dxa"/>
            <w:tcBorders>
              <w:top w:val="single" w:color="000000" w:sz="4" w:space="0"/>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编列内容</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84" w:type="dxa"/>
            <w:tcBorders>
              <w:top w:val="nil"/>
              <w:left w:val="single" w:color="000000" w:sz="4" w:space="0"/>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w:t>
            </w:r>
          </w:p>
        </w:tc>
        <w:tc>
          <w:tcPr>
            <w:tcW w:w="8508" w:type="dxa"/>
            <w:tcBorders>
              <w:top w:val="nil"/>
              <w:left w:val="nil"/>
              <w:bottom w:val="single" w:color="000000" w:sz="4" w:space="0"/>
              <w:right w:val="single" w:color="000000" w:sz="4" w:space="0"/>
            </w:tcBorders>
            <w:shd w:val="clear" w:color="auto" w:fill="FFFFFF"/>
            <w:tcMar>
              <w:top w:w="0" w:type="dxa"/>
              <w:left w:w="84" w:type="dxa"/>
              <w:bottom w:w="0" w:type="dxa"/>
              <w:right w:w="84" w:type="dxa"/>
            </w:tcMar>
            <w:vAlign w:val="center"/>
          </w:tcPr>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（1）招标文件中除下述第（2）、（3）款所述内容外的其他内容及规定适用本项目的电子招标投标活动。</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（2）将招标文件</w:t>
            </w:r>
            <w:r>
              <w:rPr>
                <w:rFonts w:hint="eastAsia" w:asciiTheme="minorEastAsia" w:hAnsiTheme="minorEastAsia" w:eastAsiaTheme="minorEastAsia" w:cstheme="minorEastAsia"/>
                <w:spacing w:val="0"/>
                <w:sz w:val="21"/>
                <w:szCs w:val="21"/>
                <w:highlight w:val="none"/>
                <w:u w:val="single"/>
              </w:rPr>
              <w:t>无。</w:t>
            </w:r>
            <w:r>
              <w:rPr>
                <w:rFonts w:hint="eastAsia" w:asciiTheme="minorEastAsia" w:hAnsiTheme="minorEastAsia" w:eastAsiaTheme="minorEastAsia" w:cstheme="minorEastAsia"/>
                <w:spacing w:val="0"/>
                <w:sz w:val="21"/>
                <w:szCs w:val="21"/>
                <w:highlight w:val="none"/>
              </w:rPr>
              <w:t>的内容</w:t>
            </w:r>
            <w:r>
              <w:rPr>
                <w:rStyle w:val="10"/>
                <w:rFonts w:hint="eastAsia" w:asciiTheme="minorEastAsia" w:hAnsiTheme="minorEastAsia" w:eastAsiaTheme="minorEastAsia" w:cstheme="minorEastAsia"/>
                <w:b/>
                <w:spacing w:val="0"/>
                <w:sz w:val="21"/>
                <w:szCs w:val="21"/>
                <w:highlight w:val="none"/>
              </w:rPr>
              <w:t>修正为</w:t>
            </w:r>
            <w:r>
              <w:rPr>
                <w:rFonts w:hint="eastAsia" w:asciiTheme="minorEastAsia" w:hAnsiTheme="minorEastAsia" w:eastAsiaTheme="minorEastAsia" w:cstheme="minorEastAsia"/>
                <w:spacing w:val="0"/>
                <w:sz w:val="21"/>
                <w:szCs w:val="21"/>
                <w:highlight w:val="none"/>
              </w:rPr>
              <w:t>下列内容：</w:t>
            </w:r>
            <w:r>
              <w:rPr>
                <w:rFonts w:hint="eastAsia" w:asciiTheme="minorEastAsia" w:hAnsiTheme="minorEastAsia" w:eastAsiaTheme="minorEastAsia" w:cstheme="minorEastAsia"/>
                <w:spacing w:val="0"/>
                <w:sz w:val="21"/>
                <w:szCs w:val="21"/>
                <w:highlight w:val="none"/>
                <w:u w:val="single"/>
              </w:rPr>
              <w:t>无。</w:t>
            </w:r>
            <w:r>
              <w:rPr>
                <w:rFonts w:hint="eastAsia" w:asciiTheme="minorEastAsia" w:hAnsiTheme="minorEastAsia" w:eastAsiaTheme="minorEastAsia" w:cstheme="minorEastAsia"/>
                <w:spacing w:val="0"/>
                <w:sz w:val="21"/>
                <w:szCs w:val="21"/>
                <w:highlight w:val="none"/>
              </w:rPr>
              <w:t>后适用本项目的电子招标投标活动。</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（3）将下列内容</w:t>
            </w:r>
            <w:r>
              <w:rPr>
                <w:rStyle w:val="10"/>
                <w:rFonts w:hint="eastAsia" w:asciiTheme="minorEastAsia" w:hAnsiTheme="minorEastAsia" w:eastAsiaTheme="minorEastAsia" w:cstheme="minorEastAsia"/>
                <w:b/>
                <w:spacing w:val="0"/>
                <w:sz w:val="21"/>
                <w:szCs w:val="21"/>
                <w:highlight w:val="none"/>
              </w:rPr>
              <w:t>增列为</w:t>
            </w:r>
            <w:r>
              <w:rPr>
                <w:rFonts w:hint="eastAsia" w:asciiTheme="minorEastAsia" w:hAnsiTheme="minorEastAsia" w:eastAsiaTheme="minorEastAsia" w:cstheme="minorEastAsia"/>
                <w:spacing w:val="0"/>
                <w:sz w:val="21"/>
                <w:szCs w:val="21"/>
                <w:highlight w:val="none"/>
              </w:rPr>
              <w:t>招标文件的组成部分（以下简称：“增列内容”）适用本项目的电子招标投标活动，若增列内容与招标文件其他章节内容有冲突，应以增列内容为准：</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①电子招标投标活动的具体操作流程以福建省政府采购网上公开信息系统设定的为准。</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②关于投标文件：</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a.投标人应按照福建省政府采购网上公开信息系统设定的评审节点编制电子投标文件，否则</w:t>
            </w:r>
            <w:r>
              <w:rPr>
                <w:rStyle w:val="10"/>
                <w:rFonts w:hint="eastAsia" w:asciiTheme="minorEastAsia" w:hAnsiTheme="minorEastAsia" w:eastAsiaTheme="minorEastAsia" w:cstheme="minorEastAsia"/>
                <w:b/>
                <w:spacing w:val="0"/>
                <w:sz w:val="21"/>
                <w:szCs w:val="21"/>
                <w:highlight w:val="none"/>
              </w:rPr>
              <w:t>资格审查小组、评标委员会将按照不利于投标人的内容进行认定。</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b.投标人应在投标截止时间前按照福建省政府采购网上公开信息系统设定的操作流程将电子投标文件</w:t>
            </w:r>
            <w:r>
              <w:rPr>
                <w:rStyle w:val="10"/>
                <w:rFonts w:hint="eastAsia" w:asciiTheme="minorEastAsia" w:hAnsiTheme="minorEastAsia" w:eastAsiaTheme="minorEastAsia" w:cstheme="minorEastAsia"/>
                <w:b/>
                <w:spacing w:val="0"/>
                <w:sz w:val="21"/>
                <w:szCs w:val="21"/>
                <w:highlight w:val="none"/>
                <w:u w:val="single"/>
              </w:rPr>
              <w:t>1</w:t>
            </w:r>
            <w:r>
              <w:rPr>
                <w:rFonts w:hint="eastAsia" w:asciiTheme="minorEastAsia" w:hAnsiTheme="minorEastAsia" w:eastAsiaTheme="minorEastAsia" w:cstheme="minorEastAsia"/>
                <w:spacing w:val="0"/>
                <w:sz w:val="21"/>
                <w:szCs w:val="21"/>
                <w:highlight w:val="none"/>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c.若出现福建省政府采购网上公开信息系统设定的意外情形（如：系统故障等），经本项目监督管理部门同意使用纸质投标文件的，应以纸质投标文件为准。</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③关于证明材料或资料：</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a.除《检察机关行贿犯罪档案查询结果告知函》外，招标文件要求原件的，投标人在电子投标文件中可提供复印件（含扫描件），但在纸质投标文件正本中应提供原件</w:t>
            </w:r>
            <w:r>
              <w:rPr>
                <w:rStyle w:val="10"/>
                <w:rFonts w:hint="eastAsia" w:asciiTheme="minorEastAsia" w:hAnsiTheme="minorEastAsia" w:eastAsiaTheme="minorEastAsia" w:cstheme="minorEastAsia"/>
                <w:b/>
                <w:sz w:val="21"/>
                <w:szCs w:val="21"/>
                <w:highlight w:val="none"/>
              </w:rPr>
              <w:t>（资格审查小组、评标委员会将核对纸质投标文件正本，未提供原件的证明材料或资料将导致投标无效）</w:t>
            </w:r>
            <w:r>
              <w:rPr>
                <w:rFonts w:hint="eastAsia" w:asciiTheme="minorEastAsia" w:hAnsiTheme="minorEastAsia" w:eastAsiaTheme="minorEastAsia" w:cstheme="minorEastAsia"/>
                <w:sz w:val="21"/>
                <w:szCs w:val="21"/>
                <w:highlight w:val="none"/>
              </w:rPr>
              <w:t>；招标文件要求复印件的，投标人在纸质投标文件中提供原件、复印件（含扫描件）皆可；招标文件对原件、复印件未作要求的，投标人在纸质投标文件中提供原件、复印件（含扫描件）皆可。</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b.除《检察机关行贿犯罪档案查询结果告知函》外，若投标人提供注明“复印件无效”的证明材料或资料，其纸质投标文件正本中应提供原件</w:t>
            </w:r>
            <w:r>
              <w:rPr>
                <w:rStyle w:val="10"/>
                <w:rFonts w:hint="eastAsia" w:asciiTheme="minorEastAsia" w:hAnsiTheme="minorEastAsia" w:eastAsiaTheme="minorEastAsia" w:cstheme="minorEastAsia"/>
                <w:b/>
                <w:sz w:val="21"/>
                <w:szCs w:val="21"/>
                <w:highlight w:val="none"/>
              </w:rPr>
              <w:t>（资格审查小组、评标委员会将核对纸质投标文件正本，未提供原件的证明材料或资料将导致投标无效）。</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c.《检察机关行贿犯罪档案查询结果告知函》</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1投标人在电子投标文件中可提供复印件（含扫描件）、符合招标文件第七章规定的打印件（或截图），在纸质投标文件正本中提供原件、复印件（含扫描件）、符合招标文件第七章规定的打印件（或截图）皆可。</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c2《检察机关行贿犯罪档案查询结果告知函》应在有效期内且内容完整、清晰、整洁，否则</w:t>
            </w:r>
            <w:r>
              <w:rPr>
                <w:rStyle w:val="10"/>
                <w:rFonts w:hint="eastAsia" w:asciiTheme="minorEastAsia" w:hAnsiTheme="minorEastAsia" w:eastAsiaTheme="minorEastAsia" w:cstheme="minorEastAsia"/>
                <w:b/>
                <w:sz w:val="21"/>
                <w:szCs w:val="21"/>
                <w:highlight w:val="none"/>
              </w:rPr>
              <w:t>投标无效。</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c3有效期内的《检察机关行贿犯罪档案查询结果告知函》复印件（含扫描件）及符合招标文件第七章规定的打印件（或截图），无论内容中是否注明“复印件无效”，</w:t>
            </w:r>
            <w:r>
              <w:rPr>
                <w:rStyle w:val="10"/>
                <w:rFonts w:hint="eastAsia" w:asciiTheme="minorEastAsia" w:hAnsiTheme="minorEastAsia" w:eastAsiaTheme="minorEastAsia" w:cstheme="minorEastAsia"/>
                <w:b/>
                <w:sz w:val="21"/>
                <w:szCs w:val="21"/>
                <w:highlight w:val="none"/>
              </w:rPr>
              <w:t>均视同有效。</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④关于“全称”、“投标人代表签字”及“加盖单位公章”：</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a.在电子投标文件中，涉及“全称”和“投标人代表签字”的内容可使用打字录入方式完成。</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b.在电子投标文件中，涉及“加盖单位公章”的内容应使用投标人的CA证书完成，否则</w:t>
            </w:r>
            <w:r>
              <w:rPr>
                <w:rStyle w:val="10"/>
                <w:rFonts w:hint="eastAsia" w:asciiTheme="minorEastAsia" w:hAnsiTheme="minorEastAsia" w:eastAsiaTheme="minorEastAsia" w:cstheme="minorEastAsia"/>
                <w:b/>
                <w:spacing w:val="0"/>
                <w:sz w:val="21"/>
                <w:szCs w:val="21"/>
                <w:highlight w:val="none"/>
              </w:rPr>
              <w:t>投标无效。</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c.在电子投标文件中，若投标人按照本增列内容第④点第b项规定加盖其单位公章，则出现无全称、或投标人代表未签字等情形，</w:t>
            </w:r>
            <w:r>
              <w:rPr>
                <w:rStyle w:val="10"/>
                <w:rFonts w:hint="eastAsia" w:asciiTheme="minorEastAsia" w:hAnsiTheme="minorEastAsia" w:eastAsiaTheme="minorEastAsia" w:cstheme="minorEastAsia"/>
                <w:b/>
                <w:spacing w:val="0"/>
                <w:sz w:val="21"/>
                <w:szCs w:val="21"/>
                <w:highlight w:val="none"/>
              </w:rPr>
              <w:t>不视为投标无效。</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⑤关于投标人的CA证书：</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a.投标人的CA证书应在投标截止时间前连同密封的纸质投标文件送达招标文件第一章第10条载明的地点，否则</w:t>
            </w:r>
            <w:r>
              <w:rPr>
                <w:rStyle w:val="10"/>
                <w:rFonts w:hint="eastAsia" w:asciiTheme="minorEastAsia" w:hAnsiTheme="minorEastAsia" w:eastAsiaTheme="minorEastAsia" w:cstheme="minorEastAsia"/>
                <w:b/>
                <w:spacing w:val="0"/>
                <w:sz w:val="21"/>
                <w:szCs w:val="21"/>
                <w:highlight w:val="none"/>
              </w:rPr>
              <w:t>投标将被拒绝。</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b.投标人的CA证书可采用信封（包括但不限于：信封、档案袋、文件袋等）作为外包装进行单独包装。外包装密封、不密封皆可。</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c.投标人的CA证书或外包装应标记“项目名称、招标编号、投标人的全称”等内容，以方便识别、使用。</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d.投标人的CA证书应能正常、有效使用，否则产生不利后果由投标人承担责任。</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⑥关于投标截止时间过后</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a.被福建省政府采购网上公开信息系统判定为投标保证金未提交（即未于投标截止时间前到达招标文件载明的投标保证金账户）的投标人，</w:t>
            </w:r>
            <w:r>
              <w:rPr>
                <w:rStyle w:val="10"/>
                <w:rFonts w:hint="eastAsia" w:asciiTheme="minorEastAsia" w:hAnsiTheme="minorEastAsia" w:eastAsiaTheme="minorEastAsia" w:cstheme="minorEastAsia"/>
                <w:b/>
                <w:spacing w:val="0"/>
                <w:sz w:val="21"/>
                <w:szCs w:val="21"/>
                <w:highlight w:val="none"/>
              </w:rPr>
              <w:t>投标将被拒绝。</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b.有下列情形之一的，其</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,其保证金不予退还：</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b1不同投标人的电子投标文件被福建省政府采购网上公开信息系统判定为具有相同内部识别码；</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b2不同投标人的投标保证金被福建省政府采购网上公开信息系统判定为从同一单位或个人的账户转出；</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b3投标人的投标保证金被福建省政府采购网上公开信息系统判定为同一合同项下有其他投标人提交的投标保证金</w:t>
            </w:r>
          </w:p>
          <w:p>
            <w:pPr>
              <w:pStyle w:val="7"/>
              <w:keepNext w:val="0"/>
              <w:keepLines w:val="0"/>
              <w:widowControl/>
              <w:suppressLineNumbers w:val="0"/>
              <w:wordWrap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b4不同投标人被福建省政府采购网上公开信息系统判定为串通投标的其他情形。</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⑦接受联合体投标且投标人为联合体的，投标人应由“联合体牵头方”完成福建省政府采购网上公开信息系统设定的具体操作流程（包括但不限于：报名、提交投标保证金、编制电子投标文件等）。</w:t>
            </w:r>
          </w:p>
          <w:p>
            <w:pPr>
              <w:pStyle w:val="7"/>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⑧其他：A.根据《福建省财政厅关于电子化政府采购项目中视为串标情形认定与处理的指导意见》闽财购〔2018〕30号规定，有下列情形之一的，视为投标人串通投标，其投标无效，没收其投标保证金，并书面报告本级财政部门： a1不同投标人的投标保证金转出账户的银行账户名称相同的； a2投标人上传电子投标文件被福建省政府采购网上公开信息系统投标客户端所赋予的项目内部识别码与本招标项目的其他投标人相同的； a3系统记录的编制电子投标文件使用的计算机或上传电子投标文件使用的计算机网卡 MAC 地址与本招标项目的其他投标人一致的； a4投标人上传的电子投标文件若出现使用本项目其他投标人的数字证书加密的或加盖本项目的其他投标人的电子印章的。a5不同投标人被福建省政府采购网上公开信息系统判定为串通投标的其他情形。B、潜在供应商在福建省政府采购网上公开信息系统注册报名时应录入供应商中文全称，不应使用简称、字母、符号等，否则有可能造成电子投标无法进行或核验保证金未能通过而导致投标失败。 C、投标人在开标现场用于解密的CA必须与制作该项目电子投标文件时所用CA为同一把CA，否则无法解密。 解密完成后，CA将退还投标人。 D、福建省政府采购网上公开信息系统对投标保证金实行一个项目（合同包）一个帐号的制度，系统平台自动生成供应商所投合同包的缴交银行账号，同一项目不同合同包同一投标人或不同投标人系统自动生成的帐号均不相同，不得混用。 同一项目再次采购时将采用不同的帐号，投标人需重新缴交投标保证金，否则会造成开标前核验保证金不能通过而导致投标失败。投标截止时间前投标人缴交的投标保证金处于保密状态，招标代理机构无法查询投标保证金的到帐情况，请供应商务必留意。</w:t>
            </w:r>
          </w:p>
        </w:tc>
      </w:tr>
    </w:tbl>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rPr>
          <w:rStyle w:val="10"/>
          <w:rFonts w:hint="eastAsia" w:ascii="宋体" w:hAnsi="宋体" w:eastAsia="宋体" w:cs="宋体"/>
          <w:b/>
          <w:spacing w:val="0"/>
          <w:sz w:val="21"/>
          <w:szCs w:val="21"/>
          <w:highlight w:val="none"/>
        </w:rPr>
      </w:pPr>
      <w:r>
        <w:rPr>
          <w:rStyle w:val="10"/>
          <w:rFonts w:hint="eastAsia" w:ascii="宋体" w:hAnsi="宋体" w:eastAsia="宋体" w:cs="宋体"/>
          <w:b/>
          <w:spacing w:val="0"/>
          <w:sz w:val="21"/>
          <w:szCs w:val="21"/>
          <w:highlight w:val="none"/>
        </w:rPr>
        <w:br w:type="page"/>
      </w:r>
    </w:p>
    <w:p>
      <w:pPr>
        <w:widowControl/>
        <w:spacing w:before="75" w:after="75"/>
        <w:jc w:val="center"/>
        <w:rPr>
          <w:rFonts w:hint="eastAsia" w:ascii="宋体" w:hAnsi="宋体" w:eastAsia="宋体" w:cs="宋体"/>
          <w:b/>
          <w:bCs/>
          <w:kern w:val="0"/>
          <w:sz w:val="32"/>
          <w:szCs w:val="32"/>
          <w:highlight w:val="none"/>
        </w:rPr>
      </w:pPr>
      <w:r>
        <w:rPr>
          <w:rFonts w:hint="eastAsia" w:ascii="宋体" w:hAnsi="宋体" w:eastAsia="宋体" w:cs="宋体"/>
          <w:b/>
          <w:bCs/>
          <w:kern w:val="0"/>
          <w:sz w:val="32"/>
          <w:szCs w:val="32"/>
          <w:highlight w:val="none"/>
        </w:rPr>
        <w:t>第三章   投标人须知</w:t>
      </w:r>
    </w:p>
    <w:p>
      <w:pPr>
        <w:pStyle w:val="7"/>
        <w:keepNext w:val="0"/>
        <w:keepLines w:val="0"/>
        <w:widowControl/>
        <w:suppressLineNumbers w:val="0"/>
        <w:spacing w:before="60" w:beforeAutospacing="0" w:after="60" w:afterAutospacing="0"/>
        <w:ind w:left="0" w:right="0" w:firstLine="0"/>
        <w:rPr>
          <w:sz w:val="21"/>
          <w:szCs w:val="21"/>
          <w:highlight w:val="none"/>
        </w:rPr>
      </w:pPr>
      <w:r>
        <w:rPr>
          <w:rFonts w:hint="eastAsia" w:ascii="宋体" w:hAnsi="宋体" w:eastAsia="宋体" w:cs="宋体"/>
          <w:spacing w:val="0"/>
          <w:sz w:val="19"/>
          <w:szCs w:val="19"/>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一、总则</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1、适用范围</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1.1适用于招标文件载明项目的政府采购活动（以下简称：“本次采购活动”）。</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2、定义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2.1“采购标的”指招标文件载明的需要采购的货物或服务。</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2.2“潜在投标人”指按照招标文件第一章第7条规定进行报名且有意向参加本项目投标的供应商。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2.3“投标人”指按照招标文件第一章第7条规定进行报名并参加本项目投标的供应商。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2.4“单位负责人”指单位法定代表人或法律、法规规定代表单位行使职权的主要负责人。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2.5“投标人代表”指投标人的单位负责人或“单位负责人授权书”中载明的接受授权方。</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二、投标人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3、合格投标人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3.1一般规定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（1）投标人应遵守政府采购法及实施条例、政府采购招投标管理办法、</w:t>
      </w:r>
      <w:r>
        <w:rPr>
          <w:rFonts w:hint="eastAsia" w:asciiTheme="minorEastAsia" w:hAnsiTheme="minorEastAsia" w:eastAsiaTheme="minorEastAsia" w:cstheme="minorEastAsia"/>
          <w:sz w:val="21"/>
          <w:szCs w:val="21"/>
          <w:highlight w:val="none"/>
        </w:rPr>
        <w:t>政府采购质疑和投诉办法及财政部、</w:t>
      </w:r>
      <w:r>
        <w:rPr>
          <w:rFonts w:hint="eastAsia" w:asciiTheme="minorEastAsia" w:hAnsiTheme="minorEastAsia" w:eastAsiaTheme="minorEastAsia" w:cstheme="minorEastAsia"/>
          <w:spacing w:val="0"/>
          <w:sz w:val="21"/>
          <w:szCs w:val="21"/>
          <w:highlight w:val="none"/>
        </w:rPr>
        <w:t>福建省财政厅有关政府采购文件的规定，同时还应遵守有关法律、法规和规章的强制性规定。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（2）投标人的资格要求：详见招标文件第一章。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3.2若本项目接受联合体投标且投标人为联合体，则联合体各方应遵守本章第3.1条规定，同时还应遵守下列规定：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（1）联合体各方应提交联合体协议，联合体协议应符合招标文件规定。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（2）联合体各方不得再单独参加或与其他供应商另外组成联合体参加同一合同项下的投标。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（3）联合体各方应共同与采购人签订政府采购合同，就政府采购合同约定的事项对采购人承担连带责任。</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4、投标费用</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4.1除招标文件另有规定外，投标人应自行承担其参加本项目投标所涉及的一切费用。</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三、招标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5、招标文件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5.1招标文件由下述部分组成：</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（1）投标邀请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（2）投标人须知前附表（表1、2）</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（3）投标人须知</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（4）资格审查与评标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（5）招标内容及要求</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（6）政府采购合同（参考文本）</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（7）投标文件格式</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（8）按照招标文件规定作为招标文件组成部分的其他内容（若有）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5.2招标文件的澄清或修改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可对已发出的招标文件进行必要的澄清或修改，但不得对招标文件载明的采购标的和投标人的资格要求进行改变。</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（2）除本章第5.2条第（3）款规定情形外，澄清或修改的内容可能影响投标文件编制的，</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将在投标截止时间至少15个日历日前，在招标文件载明的指定媒体以更正公告的形式发布澄清或修改的内容。不足15个日历日的，</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将顺延投标截止时间及开标时间，</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和投标人受原投标截止时间及开标时间制约的所有权利和义务均延长至新的投标截止时间及开标时间。</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（3）澄清或修改的内容可能改变招标文件载明的采购标的和投标人的资格要求的，本次采购活动结束，</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将依法组织后续采购活动（包括但不限于：重新招标、采用其他方式采购等）。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6、现场考察或开标前答疑会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6.1是否组织现场考察或召开开标前答疑会：详见招标文件第二章。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7、更正公告</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7.1若</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发布更正公告，则更正公告及其所发布的内容或信息（包括但不限于：招标文件的澄清或修改、现场考察或答疑会的有关事宜等）</w:t>
      </w:r>
      <w:r>
        <w:rPr>
          <w:rStyle w:val="10"/>
          <w:rFonts w:hint="eastAsia" w:asciiTheme="minorEastAsia" w:hAnsiTheme="minorEastAsia" w:eastAsiaTheme="minorEastAsia" w:cstheme="minorEastAsia"/>
          <w:b/>
          <w:spacing w:val="0"/>
          <w:sz w:val="21"/>
          <w:szCs w:val="21"/>
          <w:highlight w:val="none"/>
        </w:rPr>
        <w:t>作为招标文件组成部分</w:t>
      </w:r>
      <w:r>
        <w:rPr>
          <w:rFonts w:hint="eastAsia" w:asciiTheme="minorEastAsia" w:hAnsiTheme="minorEastAsia" w:eastAsiaTheme="minorEastAsia" w:cstheme="minorEastAsia"/>
          <w:spacing w:val="0"/>
          <w:sz w:val="21"/>
          <w:szCs w:val="21"/>
          <w:highlight w:val="none"/>
        </w:rPr>
        <w:t>，对投标人具有约束力。</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7.2更正公告作为</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通知所有潜在投标人的书面形式。</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8、终止公告</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8.1若出现因重大变故导致采购任务取消情形，</w:t>
      </w:r>
      <w:r>
        <w:rPr>
          <w:rFonts w:hint="eastAsia" w:asciiTheme="minorEastAsia" w:hAnsiTheme="minorEastAsia" w:eastAsiaTheme="minorEastAsia" w:cstheme="minorEastAsia"/>
          <w:spacing w:val="0"/>
          <w:sz w:val="21"/>
          <w:szCs w:val="21"/>
          <w:highlight w:val="none"/>
          <w:u w:val="none"/>
        </w:rPr>
        <w:t>福建恒茂源工程管理有限公司可终止招标并发布终止公告。</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none"/>
        </w:rPr>
        <w:t>8.2终止公告作为福建恒茂源工程管理有限公司</w:t>
      </w:r>
      <w:r>
        <w:rPr>
          <w:rFonts w:hint="eastAsia" w:asciiTheme="minorEastAsia" w:hAnsiTheme="minorEastAsia" w:eastAsiaTheme="minorEastAsia" w:cstheme="minorEastAsia"/>
          <w:spacing w:val="0"/>
          <w:sz w:val="21"/>
          <w:szCs w:val="21"/>
          <w:highlight w:val="none"/>
        </w:rPr>
        <w:t>通知所有潜在投标人的书面形式。</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四、投标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9、投标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9.1投标人可对招标文件载明的全部或部分合同包进行投标。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9.2投标人应对同一个合同包内的所有内容进行完整投标，否则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9.3投标人代表只能接受一个投标人的授权参加投标，否则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9.4单位负责人为同一人或存在直接控股、管理关系的不同供应商，不得同时参加同一合同项下的投标，否则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9.5为本项目提供整体设计、规范编制或项目管理、监理、检测等服务的供应商，不得参加本项目除整体设计、规范编制和项目管理、监理、检测等服务外的采购活动，否则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9.6列入失信被执行人、重大税收违法案件当事人名单、政府采购严重违法失信行为记录名单及其他不符合政府采购法第二十二条规定条件的供应商，不得参加投标，否则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9.7有下列情形之一的，视为投标人串通投标，</w:t>
      </w:r>
      <w:r>
        <w:rPr>
          <w:rStyle w:val="10"/>
          <w:rFonts w:hint="eastAsia" w:asciiTheme="minorEastAsia" w:hAnsiTheme="minorEastAsia" w:eastAsiaTheme="minorEastAsia" w:cstheme="minorEastAsia"/>
          <w:b/>
          <w:spacing w:val="0"/>
          <w:sz w:val="21"/>
          <w:szCs w:val="21"/>
          <w:highlight w:val="none"/>
        </w:rPr>
        <w:t>其投标无效：</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（1）不同投标人的投标文件由同一单位或个人编制；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（2）不同投标人委托同一单位或个人办理投标事宜；</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（3）不同投标人的投标文件载明的项目管理成员或联系人员为同一人；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（4）不同投标人的投标文件异常一致或投标报价呈规律性差异；</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（5）不同投标人的投标文件相互混装；</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（6）不同投标人的投标保证金从同一单位或个人的账户转出；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（7）有关法律、法规和规章及招标文件规定的其他串通投标情形。</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10、投标文件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10.1投标文件的编制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（1）投标人应先仔细阅读招标文件的全部内容后，再进行投标文件的编制。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（2）投标文件应按照本章第10.2条规定编制其组成部分。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（3）投标文件应满足招标文件提出的实质性要求和条件，并保证其所提交的全部资料是不可割离且真实、有效、准确、完整和不具有任何误导性的，否则造成不利后果由投标人承担责任。</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10.2投标文件由下述部分组成：</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（1）资格及资信证明部分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①投标函</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②投标人的资格及资信证明文件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③投标保证金</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（2）报价部分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①开标一览表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②投标分项报价表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③招标文件规定的价格扣除证明材料（若有）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④招标文件规定的加分证明材料（若有）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（3）技术商务部分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①标的说明一览表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②技术和服务要求响应表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③商务条件响应表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④投标人提交的其他资料（若有）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⑤招标文件规定作为投标文件组成部分的其他内容（若有）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10.3投标文件的语言</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（1）除招标文件另有规定外，投标文件应使用中文文本，若有不同文本，以中文文本为准。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10.4投标文件的份数：详见招标文件第二章。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10.5投标文件的格式</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（1）除招标文件另有规定外，投标文件应使用招标文件第七章规定的格式。</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（2）除招标文件另有规定外，投标文件的正本和全部副本均应使用不能擦去的墨料或墨水打印、书写或复印，其中：</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①正本应用A4幅面纸张打印装订，编制封面（封面标明“正本”字样）、索引、页码，并用胶装装订成册。</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②副本应用A4幅面纸张打印装订，编制封面（封面标明“副本”字样）、索引、页码，并用胶装装订成册；副本可用正本的完整复印件，并与正本保持一致（若不一致，以正本为准）。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③允许散装或活页装订的内容或材料：详见招标文件第二章。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※除本章第10.5条第（2）款第③点规定情形外，投标文件散装或活页装订将导致投标无效。</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（3）除招标文件另有规定外，投标文件应使用人民币作为计量货币。</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（4）除招标文件另有规定外，签署、盖章应遵守下列规定：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①投标文件应由投标人代表签字并加盖投标人的单位公章。若投标人代表为单位负责人授权的委托代理人，应提供“单位负责人授权书”。</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②投标文件应没有涂改或行间插字，除非这些改动是根据</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的指示进行的，或是为改正投标人造成的应修改的错误而进行的。若有前述改动，应按照下列规定之一对改动处进行处理：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a.投标人代表签字确认；</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b.加盖投标人的单位公章或校正章。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10.6投标报价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（1）投标报价超出最高限价将导致</w:t>
      </w:r>
      <w:r>
        <w:rPr>
          <w:rStyle w:val="10"/>
          <w:rFonts w:hint="eastAsia" w:asciiTheme="minorEastAsia" w:hAnsiTheme="minorEastAsia" w:eastAsiaTheme="minorEastAsia" w:cstheme="minorEastAsia"/>
          <w:b/>
          <w:spacing w:val="0"/>
          <w:sz w:val="21"/>
          <w:szCs w:val="21"/>
          <w:highlight w:val="none"/>
        </w:rPr>
        <w:t>投标无效。</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（2）最高限价由采购人根据价格测算情况，在预算金额的额度内合理设定。最高限价不得超出预算金额。</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（3）除招标文件另有规定外，投标文件不能出现任何选择性的投标报价，即每一个合同包和品目号的采购标的都只能有一个投标报价。任何选择性的投标报价将导致</w:t>
      </w:r>
      <w:r>
        <w:rPr>
          <w:rStyle w:val="10"/>
          <w:rFonts w:hint="eastAsia" w:asciiTheme="minorEastAsia" w:hAnsiTheme="minorEastAsia" w:eastAsiaTheme="minorEastAsia" w:cstheme="minorEastAsia"/>
          <w:b/>
          <w:spacing w:val="0"/>
          <w:sz w:val="21"/>
          <w:szCs w:val="21"/>
          <w:highlight w:val="none"/>
        </w:rPr>
        <w:t>投标无效。</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10.7分包</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（1）是否允许中标人将本项目的非主体、非关键性工作进行分包：详见招标文件第二章。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（2）若允许中标人将本项目的非主体、非关键性工作进行分包且投标人拟在中标后进行分包，则投标人应在投标文件中载明分包承担主体，分包承担主体应具备相应资质条件（若有）且不得再次分包。</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（3）招标文件允许中标人将非主体、非关键性工作进行分包的项目，有下列情形之一的，中标人不得分包：</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①投标文件中未载明分包承担主体；</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②投标文件载明的分包承担主体不具备相应资质条件；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③投标文件载明的分包承担主体拟再次分包；</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④享受中小企业扶持政策获得政府采购合同的，小微企业不得将合同分包给大中型企业，中型企业不得将合同分包给大型企业。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10.8投标有效期</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（1）招标文件载明的投标有效期：详见招标文件第二章。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（2）投标文件承诺的投标有效期不得少于招标文件载明的投标有效期，否则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（3）根据本次采购活动的需要，</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可于投标有效期届满之前书面要求投标人延长投标有效期，投标人应在</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10.9投标保证金</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（1）投标保证金作为投标人按照招标文件规定履行相应投标责任、义务的约束及担保。</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（2）投标保证金的有效期应与投标文件承诺的投标有效期保持一致，否则</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（3）提交</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①投标人应从其银行账户</w:t>
      </w:r>
      <w:r>
        <w:rPr>
          <w:rStyle w:val="10"/>
          <w:rFonts w:hint="eastAsia" w:asciiTheme="minorEastAsia" w:hAnsiTheme="minorEastAsia" w:eastAsiaTheme="minorEastAsia" w:cstheme="minorEastAsia"/>
          <w:b/>
          <w:spacing w:val="0"/>
          <w:sz w:val="21"/>
          <w:szCs w:val="21"/>
          <w:highlight w:val="none"/>
        </w:rPr>
        <w:t>（基本存款账户）</w:t>
      </w:r>
      <w:r>
        <w:rPr>
          <w:rFonts w:hint="eastAsia" w:asciiTheme="minorEastAsia" w:hAnsiTheme="minorEastAsia" w:eastAsiaTheme="minorEastAsia" w:cstheme="minorEastAsia"/>
          <w:spacing w:val="0"/>
          <w:sz w:val="21"/>
          <w:szCs w:val="21"/>
          <w:highlight w:val="none"/>
        </w:rPr>
        <w:t>按照下列方式：</w:t>
      </w:r>
      <w:r>
        <w:rPr>
          <w:rStyle w:val="10"/>
          <w:rFonts w:hint="eastAsia" w:asciiTheme="minorEastAsia" w:hAnsiTheme="minorEastAsia" w:eastAsiaTheme="minorEastAsia" w:cstheme="minorEastAsia"/>
          <w:b/>
          <w:spacing w:val="0"/>
          <w:sz w:val="21"/>
          <w:szCs w:val="21"/>
          <w:highlight w:val="none"/>
        </w:rPr>
        <w:t>公对公转账方式</w:t>
      </w:r>
      <w:r>
        <w:rPr>
          <w:rFonts w:hint="eastAsia" w:asciiTheme="minorEastAsia" w:hAnsiTheme="minorEastAsia" w:eastAsiaTheme="minorEastAsia" w:cstheme="minorEastAsia"/>
          <w:spacing w:val="0"/>
          <w:sz w:val="21"/>
          <w:szCs w:val="21"/>
          <w:highlight w:val="none"/>
        </w:rPr>
        <w:t>向招标文件载明的投标保证金账户提交投标保证金，具体金额详见招标文件第一章。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②投标保证金应于投标截止时间前到达招标文件载明的投标保证金账户，否则视为投标保证金未提交；是否到达按照下列方式认定：</w:t>
      </w:r>
      <w:r>
        <w:rPr>
          <w:rStyle w:val="10"/>
          <w:rFonts w:hint="eastAsia" w:asciiTheme="minorEastAsia" w:hAnsiTheme="minorEastAsia" w:eastAsiaTheme="minorEastAsia" w:cstheme="minorEastAsia"/>
          <w:b/>
          <w:spacing w:val="0"/>
          <w:sz w:val="21"/>
          <w:szCs w:val="21"/>
          <w:highlight w:val="none"/>
        </w:rPr>
        <w:t>以福建省政府采购网上公开信息系统记载的为准。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③若本项目接受联合体投标且投标人为联合体，则联合体中的牵头方应按照本章第10.9条第（3）款第①、②点规定提交投标保证金。</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※除招标文件另有规定外，未按照上述规定提交投标保证金将导致资格审查不合格。</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（4）退还</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①在投标截止时间前撤回已提交的投标文件的投标人，其投标保证金将在</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收到投标人书面撤回通知之日起5个工作日内退回原账户。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②未中标人的投标保证金将在中标通知书发出之日起5个工作日内退回原账户。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③中标人的投标保证金将在政府采购合同签订之日起5个工作日内退回原账户；合同签订之日按照下列方式认定：</w:t>
      </w:r>
      <w:r>
        <w:rPr>
          <w:rStyle w:val="10"/>
          <w:rFonts w:hint="eastAsia" w:asciiTheme="minorEastAsia" w:hAnsiTheme="minorEastAsia" w:eastAsiaTheme="minorEastAsia" w:cstheme="minorEastAsia"/>
          <w:b/>
          <w:spacing w:val="0"/>
          <w:sz w:val="21"/>
          <w:szCs w:val="21"/>
          <w:highlight w:val="none"/>
        </w:rPr>
        <w:t>以福建省政府采购网上公开信息系统记载的为准。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④终止招标的，</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将在终止公告发布之日起5个工作日内退回已收取的投标保证金及其在银行产生的孳息。</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⑤除招标文件另有规定外，质疑或投诉涉及的投标人，若投标保证金尚未退还，则待质疑或投诉处理完毕后不计利息原额退还。</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※本章第10.9条第（4）款第①、②、③点规定的投标保证金退还时限不包括因投标人自身原因导致无法及时退还而增加的时间。</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（6）有下列情形之一的，投标保证金将不予退还：</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①投标人串通投标；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②投标人提供虚假材料；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③投标人采取不正当手段诋毁、排挤其他投标人；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④投标截止时间后，投标人在投标有效期内撤销投标文件；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⑤投标人不接受评标委员会按照招标文件规定对投标报价错误之处进行修正；</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⑥投标人违反招标文件第三章第9.4、9.5、9.6条规定之一；</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⑦招标文件规定的其他不予退还情形；</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⑧中标人有下列情形之一的：</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a.除不可抗力外，因中标人自身原因未在中标通知书要求的期限内与采购人签订政府采购合同；</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b.未按照招标文件、投标文件的约定签订政府采购合同或提交履约保证金。</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※若上述投标保证金不予退还情形给采购人（采购代理机构）造成损失，则投标人还要承担相应的赔偿责任。</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10.10投标文件的提交</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（1）一个投标人只能提交一个投标文件，并按照招标文件第一章规定将其送达。</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（2）密封及其标记的具体形式：详见招标文件第二章。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10.11投标文件的补充、修改或撤回</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（1）投标截止时间前，投标人可对所提交的投标文件进行补充、修改或撤回，并书面通知</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（2）补充、修改的内容应按照本章第10.5条第（4）款规定进行签署、盖章，并按照本章第10.10条规定提交，</w:t>
      </w:r>
      <w:r>
        <w:rPr>
          <w:rStyle w:val="10"/>
          <w:rFonts w:hint="eastAsia" w:asciiTheme="minorEastAsia" w:hAnsiTheme="minorEastAsia" w:eastAsiaTheme="minorEastAsia" w:cstheme="minorEastAsia"/>
          <w:b/>
          <w:spacing w:val="0"/>
          <w:sz w:val="21"/>
          <w:szCs w:val="21"/>
          <w:highlight w:val="none"/>
        </w:rPr>
        <w:t>否则将被拒收。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※按照上述规定提交的补充、修改内容作为投标文件组成部分。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10.12除招标文件另有规定外，有下列情形之一的，</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（1）投标文件未按照招标文件要求签署、盖章；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（2）不符合招标文件中规定的资格要求；</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（3）投标报价超过招标文件中规定的预算金额或最高限价；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（4）投标文件含有采购人不能接受的附加条件；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（5）有关法律、法规和规章及招标文件规定的其他无效情形。</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五、开标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11、开标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11.1</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将在招标文件载明的开标时间及地点主持召开开标会，并邀请投标人参加。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11.2开标会的主持人、唱标人、记录人及其他工作人员（若有）均由</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派出，现场监督人员（若有）可由有关方面派出。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11.3参加开标会的投标人应签到，非投标人不参加开标会。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11.4开标会应遵守下列规定：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（1）首先由主持人宣布开标会须知，然后由投标人代表对投标文件的密封情况进行检查，经确认无误后，由工作人员对密封的投标文件当众拆封。</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（3）记录人对唱标人宣布的内容作开标记录。</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（5）投标人代表对开标过程和开标记录有疑义，以及认为采购人（采购代理机构）相关工作人员有需要回避情形的，应当场提出询问或回避申请。否则，视为投标人对开标过程和开标记录予以认可。</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（6）若投标人未参加开标会（包括但不限于投标人派出的人员不是投标人代表），视同其对开标过程和开标记录予以认可。</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※若出现本章第11.4条第（4）、（5）、（6）款规定情形之一</w:t>
      </w:r>
      <w:r>
        <w:rPr>
          <w:rFonts w:hint="eastAsia" w:asciiTheme="minorEastAsia" w:hAnsiTheme="minorEastAsia" w:eastAsiaTheme="minorEastAsia" w:cstheme="minorEastAsia"/>
          <w:spacing w:val="0"/>
          <w:sz w:val="21"/>
          <w:szCs w:val="21"/>
          <w:highlight w:val="none"/>
        </w:rPr>
        <w:t>，</w:t>
      </w:r>
      <w:r>
        <w:rPr>
          <w:rStyle w:val="10"/>
          <w:rFonts w:hint="eastAsia" w:asciiTheme="minorEastAsia" w:hAnsiTheme="minorEastAsia" w:eastAsiaTheme="minorEastAsia" w:cstheme="minorEastAsia"/>
          <w:b/>
          <w:spacing w:val="0"/>
          <w:sz w:val="21"/>
          <w:szCs w:val="21"/>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Theme="minorEastAsia" w:hAnsiTheme="minorEastAsia" w:eastAsiaTheme="minorEastAsia" w:cstheme="minorEastAsia"/>
          <w:spacing w:val="0"/>
          <w:sz w:val="21"/>
          <w:szCs w:val="21"/>
          <w:highlight w:val="none"/>
          <w:u w:val="single"/>
        </w:rPr>
        <w:t>福建恒茂源工程管理有限公司</w:t>
      </w:r>
      <w:r>
        <w:rPr>
          <w:rStyle w:val="10"/>
          <w:rFonts w:hint="eastAsia" w:asciiTheme="minorEastAsia" w:hAnsiTheme="minorEastAsia" w:eastAsiaTheme="minorEastAsia" w:cstheme="minorEastAsia"/>
          <w:b/>
          <w:spacing w:val="0"/>
          <w:sz w:val="21"/>
          <w:szCs w:val="21"/>
          <w:highlight w:val="none"/>
        </w:rPr>
        <w:t>提出任何疑义或要求（包括质疑）。</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11.5投标截止时间后，参加投标的投标人不足三家的，不进行开标。同时，本次采购活动结束，</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将依法组织后续采购活动（包括但不限于：重新招标、采用其他方式采购等）。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六、中标与政府采购合同</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12、中标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12.1本项目推荐的中标候选人家数：详见招标文件第二章。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12.2本项目中标人的确定：详见招标文件第二章。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12.3中标公告</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（1）中标人确定之日起2个工作日内，</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将在招标文件载明的指定媒体以中标公告的形式发布中标结果。</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（2）中标公告的公告期限为1个工作日。</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（3）中标公告同时作为</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通知除中标人外的其他投标人没有中标的书面形式。</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12.4中标通知书</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（1）中标公告发布的同时，</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将向中标人发出中标通知书。</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（2）中标通知书发出后，采购人不得违法改变中标结果，中标人无正当理由不得放弃中标。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13、政府采购合同</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13.1签订政府采购合同应遵守政府采购法及实施条例的规定，不得对招标文件确定的事项和中标人的投标文件作实质性修改。采购人不得向中标人提出任何不合理的要求作为政府采购合同的签订条件。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13.2签订时限：自中标通知书发出之日起30个日历日内。</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13.3政府采购合同的履行、违约责任和解决争议的方法等适用民法典。</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13.4采购人与中标人应根据政府采购合同的约定依法履行合同义务。</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13.5政府采购合同履行过程中，采购人若需追加与合同标的相同的货物或服务，则追加采购金额不得超过原合同采购金额的10%。</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13.6中标人在政府采购合同履行过程中应遵守有关法律、法规和规章的强制性规定（即使前述强制性规定有可能在招标文件中未予列明）。</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七、询问、质疑与投诉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14、询问</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14.1潜在投标人或投标人对本次采购活动的有关事项若有疑问，可向福建恒茂源工程管理有限公司提出询问，福建恒茂源工程管理有限公司将按照政府采购法及实施条例的有关规定进行答复。</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15、质疑</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15.1</w:t>
      </w:r>
      <w:r>
        <w:rPr>
          <w:rFonts w:hint="eastAsia" w:asciiTheme="minorEastAsia" w:hAnsiTheme="minorEastAsia" w:eastAsiaTheme="minorEastAsia" w:cstheme="minorEastAsia"/>
          <w:sz w:val="21"/>
          <w:szCs w:val="21"/>
          <w:highlight w:val="none"/>
        </w:rPr>
        <w:t>针对同一采购程序环节的质疑应在政府采购法及实施条例规定的时限内一次性提出</w:t>
      </w:r>
      <w:r>
        <w:rPr>
          <w:rFonts w:hint="eastAsia" w:asciiTheme="minorEastAsia" w:hAnsiTheme="minorEastAsia" w:eastAsiaTheme="minorEastAsia" w:cstheme="minorEastAsia"/>
          <w:spacing w:val="0"/>
          <w:sz w:val="21"/>
          <w:szCs w:val="21"/>
          <w:highlight w:val="none"/>
        </w:rPr>
        <w:t>，并同时符合下列条件：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（1）对招标文件提出质疑的，质疑人应为潜在投标人，且两者的身份、名称等均应保持一致。对采购过程、结果提出质疑的，质疑人应为投标人，且两者的身份、名称等均应保持一致。</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（2）质疑人应按照招标文件第二章规定方式提交质疑函。</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（3）质疑函应包括下列主要内容：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①质疑人的基本信息，至少包括：全称、地址、邮政编码等；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②所质疑项目的基本信息，至少包括：招标编号、项目名称等；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③所质疑的具体事项（以下简称：“质疑事项”）；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针对质疑事项提出的明确请求，前述明确请求指质疑人提出质疑的目的以及希望福建恒茂源工程管理有限公司对其质疑作出的处理结果，如：暂停招标投标活动、修改招标文件、停止或纠正违法违规行为、中标结果无效、废标、重新招标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⑤针对质疑事项导致质疑人自身权益受到损害的必要证明材料，至少包括：</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a.质疑人代表的身份证明材料：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a1</w:t>
      </w:r>
      <w:r>
        <w:rPr>
          <w:rFonts w:hint="eastAsia" w:asciiTheme="minorEastAsia" w:hAnsiTheme="minorEastAsia" w:eastAsiaTheme="minorEastAsia" w:cstheme="minorEastAsia"/>
          <w:sz w:val="21"/>
          <w:szCs w:val="21"/>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a2若本项目接受自然人投标且质疑人为自然人的，提供本人的身份证复印件。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w:t>
      </w:r>
      <w:r>
        <w:rPr>
          <w:rFonts w:hint="eastAsia" w:asciiTheme="minorEastAsia" w:hAnsiTheme="minorEastAsia" w:eastAsiaTheme="minorEastAsia" w:cstheme="minorEastAsia"/>
          <w:sz w:val="21"/>
          <w:szCs w:val="21"/>
          <w:highlight w:val="none"/>
        </w:rPr>
        <w:t>其他证明材料（即事实依据和必要的法律依据）</w:t>
      </w:r>
      <w:r>
        <w:rPr>
          <w:rFonts w:hint="eastAsia" w:asciiTheme="minorEastAsia" w:hAnsiTheme="minorEastAsia" w:eastAsiaTheme="minorEastAsia" w:cstheme="minorEastAsia"/>
          <w:spacing w:val="0"/>
          <w:sz w:val="21"/>
          <w:szCs w:val="21"/>
          <w:highlight w:val="none"/>
        </w:rPr>
        <w:t>包括但不限于下列材料：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b1所质疑的具体事项是与自已有利害关系的证明材料；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b2质疑函所述事实存在的证明材料，如：采购文件、采购过程或中标结果违法违规或不符合采购文件要求等证明材料；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b3依法应终止采购程序的证明材料；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b4应重新采购的证明材料；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b5采购文件、采购过程或中标、成交结果损害自已合法权益的证明材料等；</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0"/>
          <w:rFonts w:hint="eastAsia" w:asciiTheme="minorEastAsia" w:hAnsiTheme="minorEastAsia" w:eastAsiaTheme="minorEastAsia" w:cstheme="minorEastAsia"/>
          <w:b/>
          <w:spacing w:val="0"/>
          <w:sz w:val="21"/>
          <w:szCs w:val="21"/>
          <w:highlight w:val="none"/>
        </w:rPr>
        <w:t>视为无效</w:t>
      </w:r>
      <w:r>
        <w:rPr>
          <w:rFonts w:hint="eastAsia" w:asciiTheme="minorEastAsia" w:hAnsiTheme="minorEastAsia" w:eastAsiaTheme="minorEastAsia" w:cstheme="minorEastAsia"/>
          <w:spacing w:val="0"/>
          <w:sz w:val="21"/>
          <w:szCs w:val="21"/>
          <w:highlight w:val="none"/>
        </w:rPr>
        <w:t>）。</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z w:val="21"/>
          <w:szCs w:val="21"/>
          <w:highlight w:val="none"/>
        </w:rPr>
        <w:t>   ⑥质疑人代表及其联系方法的信息，至少包括：姓名、手机、电子信箱、邮寄地址等。</w:t>
      </w:r>
      <w:r>
        <w:rPr>
          <w:rFonts w:hint="eastAsia" w:asciiTheme="minorEastAsia" w:hAnsiTheme="minorEastAsia" w:eastAsiaTheme="minorEastAsia" w:cstheme="minorEastAsia"/>
          <w:sz w:val="21"/>
          <w:szCs w:val="21"/>
          <w:highlight w:val="none"/>
        </w:rPr>
        <w:br w:type="textWrapping"/>
      </w:r>
      <w:r>
        <w:rPr>
          <w:rFonts w:hint="eastAsia" w:asciiTheme="minorEastAsia" w:hAnsiTheme="minorEastAsia" w:eastAsiaTheme="minorEastAsia" w:cstheme="minorEastAsia"/>
          <w:sz w:val="21"/>
          <w:szCs w:val="21"/>
          <w:highlight w:val="none"/>
        </w:rPr>
        <w:t>   ⑦提出质疑的日期。</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※质疑人为法人或其他组织的，质疑函应由单位负责人或委托代理人签字或盖章，并加盖投标人的单位公章。质疑人为自然人的，质疑函应由本人签字。</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15.2对不符合本章第15.1条规定的质疑，将按照下列规定进行处理：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（1）不符合其中第（1）、（2）条规定的，书面告知质疑人不予受理及其理由。</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（2）不符合其中第（3）条规定的，书面告知质疑人修改、补充后在规定时限内重新提交质疑函。</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15.3对符合本章第15.1条规定的质疑，将按照政府采购法及实施条例</w:t>
      </w:r>
      <w:r>
        <w:rPr>
          <w:rFonts w:hint="eastAsia" w:asciiTheme="minorEastAsia" w:hAnsiTheme="minorEastAsia" w:eastAsiaTheme="minorEastAsia" w:cstheme="minorEastAsia"/>
          <w:sz w:val="21"/>
          <w:szCs w:val="21"/>
          <w:highlight w:val="none"/>
        </w:rPr>
        <w:t>、政府采购质疑和投诉办法</w:t>
      </w:r>
      <w:r>
        <w:rPr>
          <w:rFonts w:hint="eastAsia" w:asciiTheme="minorEastAsia" w:hAnsiTheme="minorEastAsia" w:eastAsiaTheme="minorEastAsia" w:cstheme="minorEastAsia"/>
          <w:spacing w:val="0"/>
          <w:sz w:val="21"/>
          <w:szCs w:val="21"/>
          <w:highlight w:val="none"/>
        </w:rPr>
        <w:t>的有关规定进行答复。</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15.4招标文件的质疑：详见招标文件第二章。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16、投诉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16.2投诉应有明确的请求和必要的证明材料，投诉的事项不得超出已质疑事项的范围。</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八、政府采购政策</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17、政府采购政策由财政部根据国家的经济和社会发展政策并会同国家有关部委制定，包括但不限于下列具体政策要求：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17.1进口产品指通过中国海关报关验放进入中国境内且产自关境外的产品，其中：</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（2）凡在海关特殊监管区域内企业生产或加工（包括从境外进口料件）销往境内其他地区的产品，不作为政府采购项下进口产品。</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（3）对从境外进入海关特殊监管区域，再经办理报关手续后从海关特殊监管区进入境内其他地区的产品，认定为进口产品。</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（4）招标文件列明不允许或未列明允许进口产品参加投标的，均视为拒绝进口产品参加投标。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10"/>
          <w:rFonts w:hint="eastAsia" w:asciiTheme="minorEastAsia" w:hAnsiTheme="minorEastAsia" w:eastAsiaTheme="minorEastAsia" w:cstheme="minorEastAsia"/>
          <w:b/>
          <w:sz w:val="21"/>
          <w:szCs w:val="21"/>
          <w:highlight w:val="none"/>
        </w:rPr>
        <w:t>“残疾人福利性单位”</w:t>
      </w:r>
      <w:r>
        <w:rPr>
          <w:rFonts w:hint="eastAsia" w:asciiTheme="minorEastAsia" w:hAnsiTheme="minorEastAsia" w:eastAsiaTheme="minorEastAsia" w:cstheme="minorEastAsia"/>
          <w:sz w:val="21"/>
          <w:szCs w:val="21"/>
          <w:highlight w:val="none"/>
        </w:rPr>
        <w:t>）亦可享受前述扶持政策。其中：</w:t>
      </w:r>
    </w:p>
    <w:p>
      <w:pPr>
        <w:pStyle w:val="7"/>
        <w:keepNext w:val="0"/>
        <w:keepLines w:val="0"/>
        <w:widowControl/>
        <w:suppressLineNumbers w:val="0"/>
        <w:spacing w:before="60" w:beforeAutospacing="0" w:after="60" w:afterAutospacing="0"/>
        <w:ind w:left="0" w:right="0" w:firstLine="19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（1）中小企业指符合下列条件的中型、小型、微型企业：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②符合中小企业划分标准的个体工商户，在政府采购活动中视同中小企业。</w:t>
      </w:r>
    </w:p>
    <w:p>
      <w:pPr>
        <w:pStyle w:val="7"/>
        <w:keepNext w:val="0"/>
        <w:keepLines w:val="0"/>
        <w:widowControl/>
        <w:suppressLineNumbers w:val="0"/>
        <w:spacing w:before="60" w:beforeAutospacing="0" w:after="60" w:afterAutospacing="0"/>
        <w:ind w:left="0" w:right="0" w:firstLine="19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（2）在政府采购活动中，供应商提供的货物、工程或者服务符合下列情形的，享受本办法规定的中小企业扶持政策：</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①在货物采购项目中，货物由中小企业制造，即货物由中小企业生产且使用该中小企业商号或者注册商标；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②在工程采购项目中，工程由中小企业承建，即工程施工单位为中小企业；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③在服务采购项目中，服务由中小企业承接，即提供服务的人员为中小企业依照《中华人民共和国劳动合同法》 订立劳动合同的从业人员。</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在货物采购项目中，供应商提供的货物既有中小企业制造货物，也有大型企业制造货物的，不享受本办法规定的中小企业扶持政策。</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以联合体形式参加政府采购活动，联合体各方均为中小企业的，联合体视同中小企业。其中，联合体各方均为小微企业的，联合体视同小微企业。</w:t>
      </w:r>
    </w:p>
    <w:p>
      <w:pPr>
        <w:pStyle w:val="7"/>
        <w:keepNext w:val="0"/>
        <w:keepLines w:val="0"/>
        <w:widowControl/>
        <w:suppressLineNumbers w:val="0"/>
        <w:spacing w:before="60" w:beforeAutospacing="0" w:after="60" w:afterAutospacing="0"/>
        <w:ind w:left="0" w:right="0" w:firstLine="19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①监狱企业参加采购活动时，应提供由省级以上监狱管理局、戒毒管理局（含新疆生产建设兵团）出具的属于监狱企业的证明文件。</w:t>
      </w:r>
    </w:p>
    <w:p>
      <w:pPr>
        <w:pStyle w:val="7"/>
        <w:keepNext w:val="0"/>
        <w:keepLines w:val="0"/>
        <w:widowControl/>
        <w:suppressLineNumbers w:val="0"/>
        <w:spacing w:before="60" w:beforeAutospacing="0" w:after="192"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②监狱企业视同小型、微型企业。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（4）残疾人福利性单位指同时符合下列条件的单位：</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①安置的残疾人占本单位在职职工人数的比例不低于25%（含25%），并且安置的残疾人人数不少于10人（含10人）；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②依法与安置的每位残疾人签订了一年以上（含一年）的劳动合同或服务协议；</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③为安置的每位残疾人按月足额缴纳了基本养老保险、基本医疗保险、失业保险、工伤保险和生育保险等社会保险费；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④通过银行等金融机构向安置的每位残疾人，按月支付了不低于单位所在区县适用的经省级人民政府批准的月最低工资标准的工资；</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⑤提供本单位制造的货物、承担的工程或服务，或提供其他残疾人福利性单位制造的货物（不包括使用非残疾人福利性单位注册商标的货物）。</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17.5信用记录指由财政部确定的有关网站提供的相关主体信用信息。信用记录的查询及使用应符合财政部文件（财库[2016]125号）规定。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17.6为落实政府采购政策需满足的要求：详见招标文件第一章。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九、本项目的有关信息</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18、本项目的有关信息，包括但不限于：招标公告、更正公告（若有）、招标文件、招标文件的澄清或修改（若有）、中标公告、终止公告（若有）、废标公告（若有）等都将在招标文件载明的指定媒体发布。</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18.1指定媒体：详见招标文件第二章。</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18.2本项目的潜在投标人或投标人应随时关注指定媒体，否则产生不利后果由其自行承担。</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十、其他事项</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19、其他事项：详见招标文件第二章。</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sz w:val="21"/>
          <w:szCs w:val="21"/>
          <w:highlight w:val="none"/>
        </w:rPr>
      </w:pPr>
      <w:r>
        <w:rPr>
          <w:spacing w:val="0"/>
          <w:sz w:val="21"/>
          <w:szCs w:val="21"/>
          <w:highlight w:val="none"/>
        </w:rPr>
        <w:t> </w:t>
      </w:r>
    </w:p>
    <w:p>
      <w:pPr>
        <w:pStyle w:val="7"/>
        <w:keepNext w:val="0"/>
        <w:keepLines w:val="0"/>
        <w:widowControl/>
        <w:suppressLineNumbers w:val="0"/>
        <w:spacing w:before="60" w:beforeAutospacing="0" w:after="192" w:afterAutospacing="0"/>
        <w:ind w:left="0" w:right="0" w:firstLine="0"/>
        <w:rPr>
          <w:sz w:val="21"/>
          <w:szCs w:val="21"/>
          <w:highlight w:val="none"/>
        </w:rPr>
      </w:pPr>
      <w:r>
        <w:rPr>
          <w:rFonts w:hint="default" w:ascii="Calibri" w:hAnsi="Calibri" w:cs="Calibri"/>
          <w:spacing w:val="0"/>
          <w:sz w:val="21"/>
          <w:szCs w:val="21"/>
          <w:highlight w:val="none"/>
        </w:rPr>
        <w:t> </w:t>
      </w:r>
    </w:p>
    <w:p>
      <w:pPr>
        <w:rPr>
          <w:rStyle w:val="10"/>
          <w:rFonts w:hint="eastAsia" w:ascii="宋体" w:hAnsi="宋体" w:eastAsia="宋体" w:cs="宋体"/>
          <w:b/>
          <w:spacing w:val="0"/>
          <w:sz w:val="21"/>
          <w:szCs w:val="21"/>
          <w:highlight w:val="none"/>
        </w:rPr>
      </w:pPr>
      <w:r>
        <w:rPr>
          <w:rStyle w:val="10"/>
          <w:rFonts w:hint="eastAsia" w:ascii="宋体" w:hAnsi="宋体" w:eastAsia="宋体" w:cs="宋体"/>
          <w:b/>
          <w:spacing w:val="0"/>
          <w:sz w:val="21"/>
          <w:szCs w:val="21"/>
          <w:highlight w:val="none"/>
        </w:rPr>
        <w:br w:type="page"/>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2"/>
          <w:szCs w:val="32"/>
          <w:highlight w:val="none"/>
          <w:lang w:val="en-US" w:eastAsia="zh-CN" w:bidi="ar-SA"/>
        </w:rPr>
      </w:pPr>
      <w:r>
        <w:rPr>
          <w:rFonts w:hint="eastAsia" w:ascii="宋体" w:hAnsi="宋体" w:eastAsia="宋体" w:cs="宋体"/>
          <w:b/>
          <w:bCs/>
          <w:kern w:val="0"/>
          <w:sz w:val="32"/>
          <w:szCs w:val="32"/>
          <w:highlight w:val="none"/>
          <w:lang w:val="en-US" w:eastAsia="zh-CN" w:bidi="ar-SA"/>
        </w:rPr>
        <w:t>第四章   资格审查与评标</w:t>
      </w:r>
    </w:p>
    <w:p>
      <w:pPr>
        <w:pStyle w:val="7"/>
        <w:keepNext w:val="0"/>
        <w:keepLines w:val="0"/>
        <w:widowControl/>
        <w:suppressLineNumbers w:val="0"/>
        <w:spacing w:before="60" w:beforeAutospacing="0" w:after="60" w:afterAutospacing="0"/>
        <w:ind w:left="0" w:right="0" w:firstLine="0"/>
        <w:jc w:val="center"/>
        <w:rPr>
          <w:highlight w:val="none"/>
        </w:rPr>
      </w:pPr>
      <w:r>
        <w:rPr>
          <w:spacing w:val="0"/>
          <w:sz w:val="19"/>
          <w:szCs w:val="19"/>
          <w:highlight w:val="none"/>
        </w:rPr>
        <w:t> </w:t>
      </w:r>
    </w:p>
    <w:p>
      <w:pPr>
        <w:pStyle w:val="7"/>
        <w:keepNext w:val="0"/>
        <w:keepLines w:val="0"/>
        <w:widowControl/>
        <w:suppressLineNumbers w:val="0"/>
        <w:spacing w:before="60" w:beforeAutospacing="0" w:after="60" w:afterAutospacing="0"/>
        <w:ind w:left="0" w:right="0" w:firstLine="0"/>
        <w:rPr>
          <w:highlight w:val="none"/>
        </w:rPr>
      </w:pPr>
      <w:r>
        <w:rPr>
          <w:rFonts w:hint="eastAsia" w:ascii="宋体" w:hAnsi="宋体" w:eastAsia="宋体" w:cs="宋体"/>
          <w:spacing w:val="0"/>
          <w:sz w:val="19"/>
          <w:szCs w:val="19"/>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一、资格审查</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1、开标结束后，由</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负责资格审查小组的组建及资格审查工作的组织。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1.1资格审查小组由3人组成，并负责具体审查事务，其中：由采购人派出的采购人代表至少</w:t>
      </w:r>
      <w:r>
        <w:rPr>
          <w:rFonts w:hint="eastAsia" w:asciiTheme="minorEastAsia" w:hAnsiTheme="minorEastAsia" w:eastAsiaTheme="minorEastAsia" w:cstheme="minorEastAsia"/>
          <w:spacing w:val="0"/>
          <w:sz w:val="21"/>
          <w:szCs w:val="21"/>
          <w:highlight w:val="none"/>
          <w:u w:val="single"/>
        </w:rPr>
        <w:t>1</w:t>
      </w:r>
      <w:r>
        <w:rPr>
          <w:rFonts w:hint="eastAsia" w:asciiTheme="minorEastAsia" w:hAnsiTheme="minorEastAsia" w:eastAsiaTheme="minorEastAsia" w:cstheme="minorEastAsia"/>
          <w:spacing w:val="0"/>
          <w:sz w:val="21"/>
          <w:szCs w:val="21"/>
          <w:highlight w:val="none"/>
        </w:rPr>
        <w:t>人，由</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派出的工作人员至少</w:t>
      </w:r>
      <w:r>
        <w:rPr>
          <w:rFonts w:hint="eastAsia" w:asciiTheme="minorEastAsia" w:hAnsiTheme="minorEastAsia" w:eastAsiaTheme="minorEastAsia" w:cstheme="minorEastAsia"/>
          <w:spacing w:val="0"/>
          <w:sz w:val="21"/>
          <w:szCs w:val="21"/>
          <w:highlight w:val="none"/>
          <w:u w:val="single"/>
        </w:rPr>
        <w:t>1</w:t>
      </w:r>
      <w:r>
        <w:rPr>
          <w:rFonts w:hint="eastAsia" w:asciiTheme="minorEastAsia" w:hAnsiTheme="minorEastAsia" w:eastAsiaTheme="minorEastAsia" w:cstheme="minorEastAsia"/>
          <w:spacing w:val="0"/>
          <w:sz w:val="21"/>
          <w:szCs w:val="21"/>
          <w:highlight w:val="none"/>
        </w:rPr>
        <w:t>人，其余</w:t>
      </w:r>
      <w:r>
        <w:rPr>
          <w:rFonts w:hint="eastAsia" w:asciiTheme="minorEastAsia" w:hAnsiTheme="minorEastAsia" w:eastAsiaTheme="minorEastAsia" w:cstheme="minorEastAsia"/>
          <w:spacing w:val="0"/>
          <w:sz w:val="21"/>
          <w:szCs w:val="21"/>
          <w:highlight w:val="none"/>
          <w:u w:val="single"/>
        </w:rPr>
        <w:t>1</w:t>
      </w:r>
      <w:r>
        <w:rPr>
          <w:rFonts w:hint="eastAsia" w:asciiTheme="minorEastAsia" w:hAnsiTheme="minorEastAsia" w:eastAsiaTheme="minorEastAsia" w:cstheme="minorEastAsia"/>
          <w:spacing w:val="0"/>
          <w:sz w:val="21"/>
          <w:szCs w:val="21"/>
          <w:highlight w:val="none"/>
        </w:rPr>
        <w:t>人可为采购人代表或</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的工作人员。</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1.2资格审查的依据是招标文件和投标文件。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1.3资格审查的范围及内容：投标文件（资格及资信证明部分），具体如下：</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（1）</w:t>
      </w:r>
      <w:r>
        <w:rPr>
          <w:rFonts w:hint="eastAsia" w:asciiTheme="minorEastAsia" w:hAnsiTheme="minorEastAsia" w:eastAsiaTheme="minorEastAsia" w:cstheme="minorEastAsia"/>
          <w:spacing w:val="0"/>
          <w:sz w:val="21"/>
          <w:szCs w:val="21"/>
          <w:highlight w:val="none"/>
        </w:rPr>
        <w:t>“投标函”；</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（2）“投标人的资格及资信证明文件”</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w:t>
      </w:r>
      <w:r>
        <w:rPr>
          <w:rFonts w:hint="eastAsia" w:asciiTheme="minorEastAsia" w:hAnsiTheme="minorEastAsia" w:eastAsiaTheme="minorEastAsia" w:cstheme="minorEastAsia"/>
          <w:sz w:val="21"/>
          <w:szCs w:val="21"/>
          <w:highlight w:val="none"/>
        </w:rPr>
        <w:t>①</w:t>
      </w:r>
      <w:r>
        <w:rPr>
          <w:rFonts w:hint="eastAsia" w:asciiTheme="minorEastAsia" w:hAnsiTheme="minorEastAsia" w:eastAsiaTheme="minorEastAsia" w:cstheme="minorEastAsia"/>
          <w:spacing w:val="0"/>
          <w:sz w:val="21"/>
          <w:szCs w:val="21"/>
          <w:highlight w:val="none"/>
        </w:rPr>
        <w:t>一般资格证明文件：</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742"/>
        <w:gridCol w:w="4574"/>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rPr>
          <w:tblHeader/>
        </w:trPr>
        <w:tc>
          <w:tcPr>
            <w:tcW w:w="225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c>
          <w:tcPr>
            <w:tcW w:w="275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描述</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单位负责人授权书（若有）</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营业执照等证明文件</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财务状况报告（财务报告、或资信证明、或投标担保函）</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依法缴纳税收证明材料</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依法缴纳社会保障资金证明材料</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具备履行合同所必需设备和专业技术能力的声明函（若有）</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参加采购活动前三年内在经营活动中没有重大违法记录书面声明</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信用记录查询结果</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中小企业声明函（专门面向中小企业或小型、微型企业适用，若有）</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国统字[2017]213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联合体协议（若有）</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检察机关行贿犯罪档案查询结果告知函（若有）</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spacing w:val="0"/>
          <w:kern w:val="0"/>
          <w:sz w:val="21"/>
          <w:szCs w:val="21"/>
          <w:highlight w:val="none"/>
          <w:lang w:val="en-US" w:eastAsia="zh-CN" w:bidi="ar"/>
        </w:rPr>
        <w:t>   ②.其他资格证明文件：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包：1</w:t>
      </w:r>
    </w:p>
    <w:tbl>
      <w:tblPr>
        <w:tblStyle w:val="8"/>
        <w:tblW w:w="5006"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746"/>
        <w:gridCol w:w="4580"/>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2249"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c>
          <w:tcPr>
            <w:tcW w:w="275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描述</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招标文件规定的其他资格证明文件</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所投货物属于医疗器械管理范畴，按照国家《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也可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所有证件必须在有效期内。</w:t>
            </w:r>
          </w:p>
        </w:tc>
      </w:tr>
    </w:tbl>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spacing w:val="0"/>
          <w:kern w:val="0"/>
          <w:sz w:val="21"/>
          <w:szCs w:val="21"/>
          <w:highlight w:val="none"/>
          <w:lang w:val="en-US" w:eastAsia="zh-CN" w:bidi="ar"/>
        </w:rPr>
        <w:t>  （3）投标保证金。</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1.4有下列情形之一的，</w:t>
      </w:r>
      <w:r>
        <w:rPr>
          <w:rStyle w:val="10"/>
          <w:rFonts w:hint="eastAsia" w:asciiTheme="minorEastAsia" w:hAnsiTheme="minorEastAsia" w:eastAsiaTheme="minorEastAsia" w:cstheme="minorEastAsia"/>
          <w:b/>
          <w:spacing w:val="0"/>
          <w:sz w:val="21"/>
          <w:szCs w:val="21"/>
          <w:highlight w:val="none"/>
        </w:rPr>
        <w:t>资格审查不合格：</w:t>
      </w:r>
      <w:r>
        <w:rPr>
          <w:rStyle w:val="10"/>
          <w:rFonts w:hint="eastAsia" w:asciiTheme="minorEastAsia" w:hAnsiTheme="minorEastAsia" w:eastAsiaTheme="minorEastAsia" w:cstheme="minorEastAsia"/>
          <w:b/>
          <w:spacing w:val="0"/>
          <w:sz w:val="21"/>
          <w:szCs w:val="21"/>
          <w:highlight w:val="none"/>
        </w:rPr>
        <w:br w:type="textWrapping"/>
      </w:r>
      <w:r>
        <w:rPr>
          <w:rFonts w:hint="eastAsia" w:asciiTheme="minorEastAsia" w:hAnsiTheme="minorEastAsia" w:eastAsiaTheme="minorEastAsia" w:cstheme="minorEastAsia"/>
          <w:sz w:val="21"/>
          <w:szCs w:val="21"/>
          <w:highlight w:val="none"/>
        </w:rPr>
        <w:t>  （1）一般情形：</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16"/>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rPr>
          <w:tblHeader/>
        </w:trPr>
        <w:tc>
          <w:tcPr>
            <w:tcW w:w="500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未按照招标文件规定提交投标函</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未按照招标文件规定提交投标人的资格及资信文件</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未按照招标文件规定提交投标保证金</w:t>
            </w:r>
          </w:p>
        </w:tc>
      </w:tr>
    </w:tbl>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kern w:val="0"/>
          <w:sz w:val="21"/>
          <w:szCs w:val="21"/>
          <w:highlight w:val="none"/>
          <w:lang w:val="en-US" w:eastAsia="zh-CN" w:bidi="ar"/>
        </w:rPr>
        <w:t>  （2）本项目规定的其他情形：</w:t>
      </w:r>
    </w:p>
    <w:p>
      <w:pPr>
        <w:keepNext w:val="0"/>
        <w:keepLines w:val="0"/>
        <w:widowControl/>
        <w:suppressLineNumbers w:val="0"/>
        <w:jc w:val="left"/>
        <w:rPr>
          <w:highlight w:val="none"/>
        </w:rPr>
      </w:pPr>
      <w:r>
        <w:rPr>
          <w:rStyle w:val="10"/>
          <w:rFonts w:hint="eastAsia" w:asciiTheme="minorEastAsia" w:hAnsiTheme="minorEastAsia" w:eastAsiaTheme="minorEastAsia" w:cstheme="minorEastAsia"/>
          <w:b/>
          <w:sz w:val="21"/>
          <w:szCs w:val="21"/>
          <w:highlight w:val="none"/>
        </w:rPr>
        <w:t>包：1</w:t>
      </w:r>
      <w:r>
        <w:rPr>
          <w:rFonts w:hint="eastAsia" w:asciiTheme="minorEastAsia" w:hAnsiTheme="minorEastAsia" w:eastAsiaTheme="minorEastAsia" w:cstheme="minorEastAsia"/>
          <w:sz w:val="21"/>
          <w:szCs w:val="21"/>
          <w:highlight w:val="none"/>
        </w:rPr>
        <w:br w:type="textWrapping"/>
      </w:r>
      <w:r>
        <w:rPr>
          <w:rStyle w:val="10"/>
          <w:rFonts w:hint="eastAsia" w:asciiTheme="minorEastAsia" w:hAnsiTheme="minorEastAsia" w:eastAsiaTheme="minorEastAsia" w:cstheme="minorEastAsia"/>
          <w:b/>
          <w:sz w:val="21"/>
          <w:szCs w:val="21"/>
          <w:highlight w:val="none"/>
        </w:rPr>
        <w:t>       </w:t>
      </w:r>
    </w:p>
    <w:tbl>
      <w:tblPr>
        <w:tblStyle w:val="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tblHeader/>
          <w:tblCellSpacing w:w="0" w:type="dxa"/>
        </w:trPr>
        <w:tc>
          <w:tcPr>
            <w:tcW w:w="5000" w:type="pct"/>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b/>
                <w:bCs/>
                <w:kern w:val="0"/>
                <w:sz w:val="21"/>
                <w:szCs w:val="21"/>
                <w:highlight w:val="none"/>
                <w:lang w:val="en-US" w:eastAsia="zh-CN" w:bidi="ar"/>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资格及资信证明部分中不得出现报价部分的全部或部分的投标报价信息（或组成资料），否则资格审查不合格。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所有资格证明文件应是最新、有效、完整、清晰。有年检要求的应符合规定。有变更事宜的，变更文件应附齐全，否则投标无效。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不满足招标文件第七章投标文件格式“资格及资信证明部分”中“★注意”事项的。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招标文件规定的其他投标无效情形。</w:t>
            </w:r>
          </w:p>
        </w:tc>
      </w:tr>
    </w:tbl>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2、资格审查情况不得私自外泄，有关信息由</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统一对外发布。</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3、资格审查合格的投标人不足三家的，不进行评标。同时，本次采购活动结束，</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将依法组织后续采购活动（包括但不限于：重新招标、采用其他方式采购等）。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二、评标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w:t>
      </w:r>
      <w:r>
        <w:rPr>
          <w:rFonts w:hint="eastAsia" w:asciiTheme="minorEastAsia" w:hAnsiTheme="minorEastAsia" w:eastAsiaTheme="minorEastAsia" w:cstheme="minorEastAsia"/>
          <w:sz w:val="21"/>
          <w:szCs w:val="21"/>
          <w:highlight w:val="none"/>
        </w:rPr>
        <w:t>资格审查结束后，由</w:t>
      </w:r>
      <w:r>
        <w:rPr>
          <w:rFonts w:hint="eastAsia" w:asciiTheme="minorEastAsia" w:hAnsiTheme="minorEastAsia" w:eastAsiaTheme="minorEastAsia" w:cstheme="minorEastAsia"/>
          <w:spacing w:val="0"/>
          <w:sz w:val="21"/>
          <w:szCs w:val="21"/>
          <w:highlight w:val="none"/>
        </w:rPr>
        <w:t>福建恒茂源工程管理有限公司负责评标委员会的组建及评标工作的组织。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5、评标委员会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5.1评标委员会由采购人代表和评标专家两部分共</w:t>
      </w:r>
      <w:r>
        <w:rPr>
          <w:rFonts w:hint="eastAsia" w:asciiTheme="minorEastAsia" w:hAnsiTheme="minorEastAsia" w:eastAsiaTheme="minorEastAsia" w:cstheme="minorEastAsia"/>
          <w:spacing w:val="0"/>
          <w:sz w:val="21"/>
          <w:szCs w:val="21"/>
          <w:highlight w:val="none"/>
          <w:u w:val="single"/>
        </w:rPr>
        <w:t>7</w:t>
      </w:r>
      <w:r>
        <w:rPr>
          <w:rFonts w:hint="eastAsia" w:asciiTheme="minorEastAsia" w:hAnsiTheme="minorEastAsia" w:eastAsiaTheme="minorEastAsia" w:cstheme="minorEastAsia"/>
          <w:spacing w:val="0"/>
          <w:sz w:val="21"/>
          <w:szCs w:val="21"/>
          <w:highlight w:val="none"/>
        </w:rPr>
        <w:t>人（以下简称“评委”）组成，其中：由采购人派出的采购人代表</w:t>
      </w:r>
      <w:r>
        <w:rPr>
          <w:rFonts w:hint="eastAsia" w:asciiTheme="minorEastAsia" w:hAnsiTheme="minorEastAsia" w:eastAsiaTheme="minorEastAsia" w:cstheme="minorEastAsia"/>
          <w:spacing w:val="0"/>
          <w:sz w:val="21"/>
          <w:szCs w:val="21"/>
          <w:highlight w:val="none"/>
          <w:u w:val="single"/>
        </w:rPr>
        <w:t>2</w:t>
      </w:r>
      <w:r>
        <w:rPr>
          <w:rFonts w:hint="eastAsia" w:asciiTheme="minorEastAsia" w:hAnsiTheme="minorEastAsia" w:eastAsiaTheme="minorEastAsia" w:cstheme="minorEastAsia"/>
          <w:spacing w:val="0"/>
          <w:sz w:val="21"/>
          <w:szCs w:val="21"/>
          <w:highlight w:val="none"/>
        </w:rPr>
        <w:t>人，由福建省政府采购评审专家库产生的评标专家</w:t>
      </w:r>
      <w:r>
        <w:rPr>
          <w:rFonts w:hint="eastAsia" w:asciiTheme="minorEastAsia" w:hAnsiTheme="minorEastAsia" w:eastAsiaTheme="minorEastAsia" w:cstheme="minorEastAsia"/>
          <w:spacing w:val="0"/>
          <w:sz w:val="21"/>
          <w:szCs w:val="21"/>
          <w:highlight w:val="none"/>
          <w:u w:val="single"/>
        </w:rPr>
        <w:t>5</w:t>
      </w:r>
      <w:r>
        <w:rPr>
          <w:rFonts w:hint="eastAsia" w:asciiTheme="minorEastAsia" w:hAnsiTheme="minorEastAsia" w:eastAsiaTheme="minorEastAsia" w:cstheme="minorEastAsia"/>
          <w:spacing w:val="0"/>
          <w:sz w:val="21"/>
          <w:szCs w:val="21"/>
          <w:highlight w:val="none"/>
        </w:rPr>
        <w:t>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5.2评标委员会负责具体评标事务，并按照下列原则依法独立履行有关职责：</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（1）评标应保护国家利益、社会公共利益和各方当事人合法权益，提高采购效益，保证项目质量。</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（2）评标应遵循公平、公正、科学、严谨和择优原则。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（3）评标的依据是招标文件和投标文件。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（4）应按照招标文件规定推荐中标候选人或确定中标人。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（5）评标应遵守下列评标纪律：</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①评标情况不得私自外泄，有关信息由</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统一对外发布。</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②对</w:t>
      </w:r>
      <w:r>
        <w:rPr>
          <w:rFonts w:hint="eastAsia" w:asciiTheme="minorEastAsia" w:hAnsiTheme="minorEastAsia" w:eastAsiaTheme="minorEastAsia" w:cstheme="minorEastAsia"/>
          <w:spacing w:val="0"/>
          <w:sz w:val="21"/>
          <w:szCs w:val="21"/>
          <w:highlight w:val="none"/>
          <w:u w:val="single"/>
        </w:rPr>
        <w:t>福建恒茂源工程管理有限公司</w:t>
      </w:r>
      <w:r>
        <w:rPr>
          <w:rFonts w:hint="eastAsia" w:asciiTheme="minorEastAsia" w:hAnsiTheme="minorEastAsia" w:eastAsiaTheme="minorEastAsia" w:cstheme="minorEastAsia"/>
          <w:spacing w:val="0"/>
          <w:sz w:val="21"/>
          <w:szCs w:val="21"/>
          <w:highlight w:val="none"/>
        </w:rPr>
        <w:t>或投标人提供的要求保密的资料，不得摘记翻印和外传。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③不得收受投标人或有关人员的任何礼物，不得串联鼓动其他人袒护某投标人。若与投标人存在利害关系，则应主动声明并回避。</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④全体评委应按照招标文件规定进行评标，一切认定事项应查有实据且不得弄虚作假。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⑤评标中应充分发扬民主，推荐中标候选人或确定中标人后要服从评标报告。</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※对违反评标纪律的评委，将取消其评委资格，对评标工作造成严重损失者将予以通报批评乃至追究法律责任。</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6、评标程序</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6.1评标前的准备工作</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（1）全体评委应认真审阅招标文件，了解评委应履行或遵守的职责、义务和评标纪律。</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（2）参加评标委员会的采购人代表可对本项目的背景和采购需求进行介绍，介绍材料应以书面形式提交（随采购文件一并存档），介绍内容不得含有歧视性、倾向性意见，不得超出招标文件所述范围。</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6.2符合性审查</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（1）评标委员会依据招标文件的实质性要求，对通过资格审查的投标文件进行符合性审查，以确定其是否满足招标文件的实质性要求。</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（2）满足招标文件的实质性要求指投标文件对招标文件实质性要求的响应不存在重大偏差或保留。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（5）评标委员会对所有投标人都执行相同的程序和标准。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（6）有下列情形之一的，</w:t>
      </w:r>
      <w:r>
        <w:rPr>
          <w:rStyle w:val="10"/>
          <w:rFonts w:hint="eastAsia" w:asciiTheme="minorEastAsia" w:hAnsiTheme="minorEastAsia" w:eastAsiaTheme="minorEastAsia" w:cstheme="minorEastAsia"/>
          <w:b/>
          <w:spacing w:val="0"/>
          <w:sz w:val="21"/>
          <w:szCs w:val="21"/>
          <w:highlight w:val="none"/>
        </w:rPr>
        <w:t>符合性审查不合格：</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①项目一般情形：</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16"/>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PrEx>
        <w:trPr>
          <w:tblHeader/>
        </w:trPr>
        <w:tc>
          <w:tcPr>
            <w:tcW w:w="500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属于招标文件第三章第10.12条规定的投标无效情形；</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违反招标文件中载明“投标无效”条款的规定；</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投标文件对招标文件实质性要求的响应存在重大偏离或保留。</w:t>
            </w:r>
          </w:p>
        </w:tc>
      </w:tr>
    </w:tbl>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②本项目规定的其他情形：</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包：1</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包一般情形</w:t>
      </w:r>
      <w:r>
        <w:rPr>
          <w:rFonts w:hint="eastAsia" w:asciiTheme="minorEastAsia" w:hAnsiTheme="minorEastAsia" w:eastAsiaTheme="minorEastAsia" w:cstheme="minorEastAsia"/>
          <w:sz w:val="21"/>
          <w:szCs w:val="21"/>
          <w:highlight w:val="none"/>
        </w:rPr>
        <w:br w:type="textWrapping"/>
      </w:r>
      <w:r>
        <w:rPr>
          <w:rStyle w:val="10"/>
          <w:rFonts w:hint="eastAsia" w:asciiTheme="minorEastAsia" w:hAnsiTheme="minorEastAsia" w:eastAsiaTheme="minorEastAsia" w:cstheme="minorEastAsia"/>
          <w:b/>
          <w:sz w:val="21"/>
          <w:szCs w:val="21"/>
          <w:highlight w:val="none"/>
        </w:rPr>
        <w:t>         无</w:t>
      </w:r>
    </w:p>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kern w:val="0"/>
          <w:sz w:val="21"/>
          <w:szCs w:val="21"/>
          <w:highlight w:val="none"/>
          <w:lang w:val="en-US" w:eastAsia="zh-CN" w:bidi="ar"/>
        </w:rPr>
        <w:t>技术符合性</w:t>
      </w:r>
    </w:p>
    <w:tbl>
      <w:tblPr>
        <w:tblStyle w:val="8"/>
        <w:tblW w:w="5012"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36"/>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rPr>
          <w:tblHeader/>
        </w:trPr>
        <w:tc>
          <w:tcPr>
            <w:tcW w:w="500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5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投标人技术部分的实际得分少于招标文件设定的技术部分总分50%的。</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5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技术商务部分中不得出现报价部分的全部或部分的投标报价信息（或组成资料），否则符合性审查不合格。</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5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投标文件中提供虚假或失实资料的。</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5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不符合招标文件中规定的其它实质性要求条款的。</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5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招标文件规定的其他投标无效情形。</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5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kern w:val="0"/>
                <w:sz w:val="21"/>
                <w:szCs w:val="21"/>
                <w:highlight w:val="none"/>
                <w:lang w:val="en-US" w:eastAsia="zh-CN" w:bidi="ar"/>
              </w:rPr>
            </w:pPr>
            <w:r>
              <w:rPr>
                <w:rFonts w:hint="eastAsia" w:asciiTheme="minorEastAsia" w:hAnsiTheme="minorEastAsia" w:eastAsiaTheme="minorEastAsia" w:cstheme="minorEastAsia"/>
                <w:kern w:val="0"/>
                <w:sz w:val="21"/>
                <w:szCs w:val="21"/>
                <w:highlight w:val="none"/>
                <w:lang w:val="en-US" w:eastAsia="zh-CN" w:bidi="ar"/>
              </w:rPr>
              <w:t>投标人未对第三章投标人须知第9.4、9.7条规定以及招标文件要求声明的相关条款单独作出声明的 。</w:t>
            </w:r>
          </w:p>
        </w:tc>
      </w:tr>
    </w:tbl>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kern w:val="0"/>
          <w:sz w:val="21"/>
          <w:szCs w:val="21"/>
          <w:highlight w:val="none"/>
          <w:lang w:val="en-US" w:eastAsia="zh-CN" w:bidi="ar"/>
        </w:rPr>
        <w:t>商务符合性</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316"/>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5000" w:type="pct"/>
            <w:tcBorders>
              <w:top w:val="single" w:color="666666" w:sz="4" w:space="0"/>
              <w:left w:val="single" w:color="666666" w:sz="4" w:space="0"/>
              <w:bottom w:val="single" w:color="666666" w:sz="4" w:space="0"/>
              <w:right w:val="single" w:color="666666" w:sz="4" w:space="0"/>
            </w:tcBorders>
            <w:shd w:val="clear" w:color="auto" w:fill="auto"/>
            <w:vAlign w:val="center"/>
          </w:tcPr>
          <w:p>
            <w:pPr>
              <w:keepNext w:val="0"/>
              <w:keepLines w:val="0"/>
              <w:widowControl/>
              <w:suppressLineNumbers w:val="0"/>
              <w:jc w:val="lef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kern w:val="0"/>
                <w:sz w:val="21"/>
                <w:szCs w:val="21"/>
                <w:highlight w:val="none"/>
                <w:lang w:val="en-US" w:eastAsia="zh-CN" w:bidi="ar"/>
              </w:rPr>
              <w:t>明细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商务部分中出现报价部分的全部或部分的投标报价信息（或组成资料）的。</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不满足招标文件第五章《招标内容及要求》中“三、商务条件”任一条款的，投标无效，招标文件有不同表述的，以本条为准。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招标文件规定的其他投标无效情形。</w:t>
            </w:r>
          </w:p>
        </w:tc>
      </w:tr>
    </w:tbl>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kern w:val="0"/>
          <w:sz w:val="21"/>
          <w:szCs w:val="21"/>
          <w:highlight w:val="none"/>
          <w:lang w:val="en-US" w:eastAsia="zh-CN" w:bidi="ar"/>
        </w:rPr>
        <w:t>附加符合性</w:t>
      </w:r>
      <w:r>
        <w:rPr>
          <w:rFonts w:hint="eastAsia" w:asciiTheme="minorEastAsia" w:hAnsiTheme="minorEastAsia" w:eastAsiaTheme="minorEastAsia" w:cstheme="minorEastAsia"/>
          <w:kern w:val="0"/>
          <w:sz w:val="21"/>
          <w:szCs w:val="21"/>
          <w:highlight w:val="none"/>
          <w:lang w:val="en-US" w:eastAsia="zh-CN" w:bidi="ar"/>
        </w:rPr>
        <w:br w:type="textWrapping"/>
      </w:r>
      <w:r>
        <w:rPr>
          <w:rStyle w:val="10"/>
          <w:rFonts w:hint="eastAsia" w:asciiTheme="minorEastAsia" w:hAnsiTheme="minorEastAsia" w:eastAsiaTheme="minorEastAsia" w:cstheme="minorEastAsia"/>
          <w:b/>
          <w:kern w:val="0"/>
          <w:sz w:val="21"/>
          <w:szCs w:val="21"/>
          <w:highlight w:val="none"/>
          <w:lang w:val="en-US" w:eastAsia="zh-CN" w:bidi="ar"/>
        </w:rPr>
        <w:t>         无</w:t>
      </w: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kern w:val="0"/>
          <w:sz w:val="21"/>
          <w:szCs w:val="21"/>
          <w:highlight w:val="none"/>
          <w:lang w:val="en-US" w:eastAsia="zh-CN" w:bidi="ar"/>
        </w:rPr>
        <w:br w:type="textWrapping"/>
      </w:r>
      <w:r>
        <w:rPr>
          <w:rFonts w:hint="eastAsia" w:asciiTheme="minorEastAsia" w:hAnsiTheme="minorEastAsia" w:eastAsiaTheme="minorEastAsia" w:cstheme="minorEastAsia"/>
          <w:kern w:val="0"/>
          <w:sz w:val="21"/>
          <w:szCs w:val="21"/>
          <w:highlight w:val="none"/>
          <w:lang w:val="en-US" w:eastAsia="zh-CN" w:bidi="ar"/>
        </w:rPr>
        <w:t>价格符合性</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6.3澄清有关问题</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（1）对通过符合性审查的投标文件中含义不明确、同类问题表述不一致或有明显文字和计算错误的内容，评标委员会将以书面形式要求投标人作出必要的澄清、说明或补正。</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（3）投标文件报价出现前后不一致的，除招标文件另有规定外，按照下列规定修正：</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①开标一览表内容与投标文件中相应内容不一致的，以开标一览表为准；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②大写金额和小写金额不一致的，以大写金额为准；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③单价金额小数点或百分比有明显错位的，以开标一览表的总价为准，并修改单价；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④总价金额与按照单价汇总金额不一致的，以单价金额计算结果为准。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※同时出现两种以上不一致的，按照前款规定的顺序修正。修正后的报价应按照本章第6.3条第（1）、（2）款规定经投标人确认后产生约束力，投标人不确认的，其投标无效。</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（4）关于细微偏差</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②评标委员会将以书面形式要求存在细微偏差的投标人在评标委员会规定的时间内予以补正。若无法补正，则评标委员会将按照不利于投标人的内容进行认定。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（5）关于投标描述（即投标文件中描述的内容）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①投标描述前后不一致且不涉及证明材料的：按照本章第6.3条第（1）、（2）款规定执行。</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②投标描述与证明材料不一致或多份证明材料之间不一致的：</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a.评标委员会将要求投标人进行书面澄清，并按照不利于投标人的内容进行评标。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6.4比较与评价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（1）按照本章第7条载明的评标方法和标准，对符合性审查合格的投标文件进行比较与评价。</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（2）关于相同品牌产品</w:t>
      </w:r>
      <w:r>
        <w:rPr>
          <w:rStyle w:val="10"/>
          <w:rFonts w:hint="eastAsia" w:asciiTheme="minorEastAsia" w:hAnsiTheme="minorEastAsia" w:eastAsiaTheme="minorEastAsia" w:cstheme="minorEastAsia"/>
          <w:b/>
          <w:spacing w:val="0"/>
          <w:sz w:val="21"/>
          <w:szCs w:val="21"/>
          <w:highlight w:val="none"/>
        </w:rPr>
        <w:t>（政府采购服务类项目不适用本条款规定）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a.招标文件规定的方式：</w:t>
      </w:r>
      <w:r>
        <w:rPr>
          <w:rFonts w:hint="eastAsia" w:asciiTheme="minorEastAsia" w:hAnsiTheme="minorEastAsia" w:eastAsiaTheme="minorEastAsia" w:cstheme="minorEastAsia"/>
          <w:spacing w:val="0"/>
          <w:sz w:val="21"/>
          <w:szCs w:val="21"/>
          <w:highlight w:val="none"/>
          <w:u w:val="single"/>
        </w:rPr>
        <w:t>无。</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b.招标文件未规定的，采取随机抽取方式确定，其他</w:t>
      </w:r>
      <w:r>
        <w:rPr>
          <w:rStyle w:val="10"/>
          <w:rFonts w:hint="eastAsia" w:asciiTheme="minorEastAsia" w:hAnsiTheme="minorEastAsia" w:eastAsiaTheme="minorEastAsia" w:cstheme="minorEastAsia"/>
          <w:b/>
          <w:spacing w:val="0"/>
          <w:sz w:val="21"/>
          <w:szCs w:val="21"/>
          <w:highlight w:val="none"/>
        </w:rPr>
        <w:t>投标无效。</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a.招标文件规定的方式：</w:t>
      </w:r>
      <w:r>
        <w:rPr>
          <w:rFonts w:hint="eastAsia" w:asciiTheme="minorEastAsia" w:hAnsiTheme="minorEastAsia" w:eastAsiaTheme="minorEastAsia" w:cstheme="minorEastAsia"/>
          <w:spacing w:val="0"/>
          <w:sz w:val="21"/>
          <w:szCs w:val="21"/>
          <w:highlight w:val="none"/>
          <w:u w:val="single"/>
        </w:rPr>
        <w:t>无。</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b.招标文件未规定的，采取随机抽取方式确定，其他同品牌投标人不作为中标候选人。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③非单一产品采购项目，多家投标人提供的核心产品品牌相同的，按照本章第6.4条第（2）款第①、②规定处理。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（3）漏（缺）项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①招标文件中要求列入报价的费用（含配置、功能），漏（缺）项的报价视为已经包括在投标总价中。</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②对多报项及赠送项的价格评标时不予核减，全部进入评标价评议。</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6.5推荐中标候选人：详见本章第7.2条规定。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6.6编写评标报告</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（1）评标报告由评标委员会负责编写。</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（2）评标报告应包括下列内容：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①招标公告刊登的媒体名称、开标日期和地点；</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②投标人名单和评标委员会成员名单；</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③评标方法和标准；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④开标记录和评标情况及说明，包括无效投标人名单及原因；</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⑤评标结果，包括中标候选人名单或确定的中标人；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⑥其他需要说明的情况，包括但不限于：评标过程中投标人的澄清、说明或补正，评委更换等。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处理。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6.8评委对需要共同认定的事项存在争议的，应按照少数服从多数的原则进行认定。</w:t>
      </w:r>
      <w:r>
        <w:rPr>
          <w:rStyle w:val="10"/>
          <w:rFonts w:hint="eastAsia" w:asciiTheme="minorEastAsia" w:hAnsiTheme="minorEastAsia" w:eastAsiaTheme="minorEastAsia" w:cstheme="minorEastAsia"/>
          <w:b/>
          <w:spacing w:val="0"/>
          <w:sz w:val="21"/>
          <w:szCs w:val="21"/>
          <w:highlight w:val="none"/>
        </w:rPr>
        <w:t>持不同意见的评委应在评标报告上签署不同意见及理由，否则视为同意评标报告。</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6.9在评标过程中发现投标人有下列情形之一的，评标委员会应认定其</w:t>
      </w:r>
      <w:r>
        <w:rPr>
          <w:rStyle w:val="10"/>
          <w:rFonts w:hint="eastAsia" w:asciiTheme="minorEastAsia" w:hAnsiTheme="minorEastAsia" w:eastAsiaTheme="minorEastAsia" w:cstheme="minorEastAsia"/>
          <w:b/>
          <w:spacing w:val="0"/>
          <w:sz w:val="21"/>
          <w:szCs w:val="21"/>
          <w:highlight w:val="none"/>
        </w:rPr>
        <w:t>投标无效</w:t>
      </w:r>
      <w:r>
        <w:rPr>
          <w:rFonts w:hint="eastAsia" w:asciiTheme="minorEastAsia" w:hAnsiTheme="minorEastAsia" w:eastAsiaTheme="minorEastAsia" w:cstheme="minorEastAsia"/>
          <w:spacing w:val="0"/>
          <w:sz w:val="21"/>
          <w:szCs w:val="21"/>
          <w:highlight w:val="none"/>
        </w:rPr>
        <w:t>，并书面报告本项目监督管理部门：</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（1）恶意串通（包括但不限于招标文件第三章第9.7条规定情形）；</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（2）妨碍其他投标人的竞争行为；</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（3）损害采购人或其他投标人的合法权益。</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6.10评标过程中，有下列情形之一的，应予废标：</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（1）符合性审查合格的投标人不足三家的；</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（2）有关法律、法规和规章规定废标的情形。</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※若废标，则本次采购活动结束，</w:t>
      </w:r>
      <w:r>
        <w:rPr>
          <w:rFonts w:hint="eastAsia" w:asciiTheme="minorEastAsia" w:hAnsiTheme="minorEastAsia" w:eastAsiaTheme="minorEastAsia" w:cstheme="minorEastAsia"/>
          <w:spacing w:val="0"/>
          <w:sz w:val="21"/>
          <w:szCs w:val="21"/>
          <w:highlight w:val="none"/>
          <w:u w:val="single"/>
        </w:rPr>
        <w:t>福建恒茂源工程管理有限公司</w:t>
      </w:r>
      <w:r>
        <w:rPr>
          <w:rStyle w:val="10"/>
          <w:rFonts w:hint="eastAsia" w:asciiTheme="minorEastAsia" w:hAnsiTheme="minorEastAsia" w:eastAsiaTheme="minorEastAsia" w:cstheme="minorEastAsia"/>
          <w:b/>
          <w:spacing w:val="0"/>
          <w:sz w:val="21"/>
          <w:szCs w:val="21"/>
          <w:highlight w:val="none"/>
        </w:rPr>
        <w:t>将依法组织后续采购活动（包括但不限于：重新招标、采用其他方式采购等）。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7、评标方法和标准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7.1评标方法： 合同包1采用综合评分法。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7.2评标标准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hd w:val="clear" w:fill="FFFFFF"/>
        <w:spacing w:before="0" w:beforeAutospacing="0" w:after="120" w:afterAutospacing="0"/>
        <w:ind w:left="0" w:right="0"/>
        <w:rPr>
          <w:rFonts w:hint="eastAsia" w:asciiTheme="minorEastAsia" w:hAnsiTheme="minorEastAsia" w:eastAsiaTheme="minorEastAsia" w:cstheme="minorEastAsia"/>
          <w:color w:val="393939"/>
          <w:sz w:val="21"/>
          <w:szCs w:val="21"/>
          <w:highlight w:val="none"/>
        </w:rPr>
      </w:pPr>
      <w:r>
        <w:rPr>
          <w:rStyle w:val="10"/>
          <w:rFonts w:hint="eastAsia" w:asciiTheme="minorEastAsia" w:hAnsiTheme="minorEastAsia" w:eastAsiaTheme="minorEastAsia" w:cstheme="minorEastAsia"/>
          <w:b/>
          <w:color w:val="393939"/>
          <w:sz w:val="21"/>
          <w:szCs w:val="21"/>
          <w:highlight w:val="none"/>
          <w:shd w:val="clear" w:fill="FFFFFF"/>
        </w:rPr>
        <w:t>合同包1采用综合评分法</w:t>
      </w:r>
      <w:r>
        <w:rPr>
          <w:rFonts w:hint="eastAsia" w:asciiTheme="minorEastAsia" w:hAnsiTheme="minorEastAsia" w:eastAsiaTheme="minorEastAsia" w:cstheme="minorEastAsia"/>
          <w:color w:val="393939"/>
          <w:sz w:val="21"/>
          <w:szCs w:val="21"/>
          <w:highlight w:val="none"/>
          <w:shd w:val="clear" w:fill="FFFFFF"/>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（1）投标文件满足招标文件全部实质性要求，且按照评审因素的量化指标评审得分（即评标总得分）最高的投标人为中标候选人。</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（3）各项评审因素的设置如下：</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①价格项（F1×A1）满分为</w:t>
      </w:r>
      <w:r>
        <w:rPr>
          <w:rFonts w:hint="eastAsia" w:asciiTheme="minorEastAsia" w:hAnsiTheme="minorEastAsia" w:eastAsiaTheme="minorEastAsia" w:cstheme="minorEastAsia"/>
          <w:sz w:val="21"/>
          <w:szCs w:val="21"/>
          <w:highlight w:val="none"/>
          <w:u w:val="single"/>
        </w:rPr>
        <w:t>45</w:t>
      </w:r>
      <w:r>
        <w:rPr>
          <w:rFonts w:hint="eastAsia" w:asciiTheme="minorEastAsia" w:hAnsiTheme="minorEastAsia" w:eastAsiaTheme="minorEastAsia" w:cstheme="minorEastAsia"/>
          <w:sz w:val="21"/>
          <w:szCs w:val="21"/>
          <w:highlight w:val="none"/>
        </w:rPr>
        <w:t>分。</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价格分采用低价优先法计算，即满足招标文件要求且投标价格最低的投标报价为评标基准价，其价格分为满分。其他投标人的价格分统一按照下列公式计算：投标报价得分=（评标基准价／投标报价）×100。因落实政府采购政策需进行价格扣除的，以扣除后的价格计算评标基准价和投标报价。</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b.价格扣除的规则如下：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042"/>
        <w:gridCol w:w="7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rPr>
        <w:tc>
          <w:tcPr>
            <w:tcW w:w="0" w:type="auto"/>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评标项目</w:t>
            </w:r>
          </w:p>
        </w:tc>
        <w:tc>
          <w:tcPr>
            <w:tcW w:w="0" w:type="auto"/>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c>
          <w:tcPr>
            <w:tcW w:w="0" w:type="auto"/>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小型、微型企业，监狱企业，残疾人</w:t>
            </w:r>
          </w:p>
        </w:tc>
        <w:tc>
          <w:tcPr>
            <w:tcW w:w="0" w:type="auto"/>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kern w:val="0"/>
                <w:sz w:val="21"/>
                <w:szCs w:val="21"/>
                <w:highlight w:val="none"/>
                <w:lang w:val="en-US" w:eastAsia="zh-CN" w:bidi="ar"/>
              </w:rPr>
              <w:t>经与采购人确认，本项目为未预留份额专门面向中小企业采购的货物类采购项目，本采购标的对应的中小企业划分标准所属行业为工业。 本项目执行的政府采购优惠政策如下： （一）中小企业优惠政策：财政部、工业和信息化部关于印发《政府采购促进中小企业发展管理办法》的通知（财库〔2020〕46号）文件精神，在非专门面向中小企业的采购项目中，对符合上述管理办法规定的小微企业报价给予相应的价格扣除（货物、服务类项目按6%扣除，工程项目按3% 扣除），用扣除后的价格参加评审。 1、在货物采购项目中，货物应当由中小企业制造，不对其中涉及的服务的承接商作出要求；在工程采购项目中，工程应当由中小企业承建，不对其中涉及的货物的制造商和服务的承接商作出要求；在服务采购项目中，服务的承接商应当为中小企业，不对其中涉及的货物的制造商作出要求。 2、大型企业提供的所有采购标的均为小微企业制造的，可享受价格扣除；如果一个采购项目或采购包含有多个采购标的的，则每个采购标的均应由中小企业制造，否则不予价格扣除。 3、参加政府采购活动的中小企业应当提供《政府采购促进中小企业发展暂行办法》规定的《中小企业声明函》(见本文件最后章节格式)；货物类采购项目，投标文件中还应提供《小型、微型企业产品统计表》（见本文件最后章节格式)并附在报价部分中(电子资料应上传在对应评分模块)，否则不予价格扣除。 （二）监狱企业优惠政策：根据财库【2014】68号文《关于政府采购支持监狱企业发展有关问题的通知》的规定，在政府采购活动中，监狱企业视同小型、微型企业，享受预留份额、评审中价格扣除等政府采购促进中小企业发展的政府采购政策。 监狱企业参加政府采购活动时，应当提供由省级以上监狱管理局、戒毒管理局(含新疆生产建设兵团)出具的属于监狱企业的证明文件，否则不予价格扣除。 （三）残疾人福利性单位优惠政策：根据财库〔2017〕141号文《关于促进残疾人就业政府采购政策的通知》的规定，在政府采购活动中，残疾人福利性单位视同小型、微型企业，享受预留份额、评审中价格扣除等促进中小企业发展的政府采购政策。根据福建省财政厅 福建省民政厅 福建省残疾人联合会《关于进一步落实政府采购支持残疾人就业政策的通知》规定，对于非专门面向中小企业的项目，对残疾人福利性单位产品价格给予10%的扣除；对残疾人福利性单位与其他组织组成联合体参与政府采购活动的，残疾人福利性单位的协议合同金额占总合同金额30%以上的，给予联合体合同金额3%的价格扣除。残疾人福利性单位参加政府采购活动时，应当提供财库〔2017〕141号文规定格式的《残疾人福利性单位声明函》并加单位公章。残疾人福利性单位属于小型、微型企业的，不重复享受政策。 根据福建省财政厅政府采购监督管理办公室印发《关于残疾人福利性单位参加政府采购活动价格扣除的通知》，对于残疾人福利性单位参与货物项目的，残疾人福利性单位还应同时提供“残疾人福利性单位产品统计表”，标明具体哪些货物是其本单位制造的货物，或者是由其他残疾人福利性单位制造的货物(不包括使用非残疾人福利性单位注册商标的货物)，仅有标明部分的货物才能启动价格扣除，不由残疾人福利性单位制造的货物部分，不得进行价格扣除。 说明：采购代理机构将在中标、成交结果公告同时公告中标人提交的《中小企业声明函》，接受社会监督。供应商应当对其出具的《中小企业声明函》真实性负责，供应商出具的《中小企业声明函》内容不实的，属于提供虚假材料谋取中标。在实际操作中，供应商希望获得《办法》规定政策支持的，应从制造商处获得充分、准确的信息。对相关制造商信息了解不充分，或者不能确定相关信息真实、准确的，不建议出具《中小企业声明函》。如发现供应商提供的《声明函》与事实不符的，视为其提供虚假材料谋取中标、成交，其中标、成交无效，并依照《政府采购法》第七十七条第一款的规定追究法律责任。</w:t>
            </w:r>
          </w:p>
        </w:tc>
      </w:tr>
    </w:tbl>
    <w:p>
      <w:pPr>
        <w:keepNext w:val="0"/>
        <w:keepLines w:val="0"/>
        <w:widowControl/>
        <w:suppressLineNumbers w:val="0"/>
        <w:jc w:val="left"/>
        <w:rPr>
          <w:highlight w:val="none"/>
        </w:rPr>
      </w:pPr>
      <w:r>
        <w:rPr>
          <w:rFonts w:hint="eastAsia" w:asciiTheme="minorEastAsia" w:hAnsiTheme="minorEastAsia" w:eastAsiaTheme="minorEastAsia" w:cstheme="minorEastAsia"/>
          <w:sz w:val="21"/>
          <w:szCs w:val="21"/>
          <w:highlight w:val="none"/>
        </w:rPr>
        <w:t>②技术项（F2×A2）满分为</w:t>
      </w:r>
      <w:r>
        <w:rPr>
          <w:rFonts w:hint="eastAsia" w:asciiTheme="minorEastAsia" w:hAnsiTheme="minorEastAsia" w:eastAsiaTheme="minorEastAsia" w:cstheme="minorEastAsia"/>
          <w:sz w:val="21"/>
          <w:szCs w:val="21"/>
          <w:highlight w:val="none"/>
          <w:u w:val="single"/>
        </w:rPr>
        <w:t>45</w:t>
      </w:r>
      <w:r>
        <w:rPr>
          <w:rFonts w:hint="eastAsia" w:asciiTheme="minorEastAsia" w:hAnsiTheme="minorEastAsia" w:eastAsiaTheme="minorEastAsia" w:cstheme="minorEastAsia"/>
          <w:sz w:val="21"/>
          <w:szCs w:val="21"/>
          <w:highlight w:val="none"/>
        </w:rPr>
        <w:t>分。</w:t>
      </w:r>
    </w:p>
    <w:tbl>
      <w:tblPr>
        <w:tblStyle w:val="8"/>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792"/>
        <w:gridCol w:w="362"/>
        <w:gridCol w:w="7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评标项目</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评标分值</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T1、技术指标响应情况</w:t>
            </w:r>
          </w:p>
        </w:tc>
        <w:tc>
          <w:tcPr>
            <w:tcW w:w="0" w:type="auto"/>
            <w:shd w:val="clear" w:color="auto" w:fill="auto"/>
            <w:vAlign w:val="center"/>
          </w:tcPr>
          <w:p>
            <w:pPr>
              <w:keepNext w:val="0"/>
              <w:keepLines w:val="0"/>
              <w:widowControl/>
              <w:suppressLineNumbers w:val="0"/>
              <w:ind w:left="0" w:firstLine="0"/>
              <w:jc w:val="left"/>
              <w:rPr>
                <w:rFonts w:hint="default" w:asciiTheme="minorEastAsia" w:hAnsiTheme="minorEastAsia" w:eastAsiaTheme="minorEastAsia" w:cstheme="minorEastAsia"/>
                <w:i w:val="0"/>
                <w:caps w:val="0"/>
                <w:color w:val="000000"/>
                <w:spacing w:val="0"/>
                <w:sz w:val="21"/>
                <w:szCs w:val="21"/>
                <w:highlight w:val="none"/>
                <w:lang w:val="en-US" w:eastAsia="zh-CN"/>
              </w:rPr>
            </w:pPr>
            <w:r>
              <w:rPr>
                <w:rFonts w:hint="eastAsia" w:asciiTheme="minorEastAsia" w:hAnsiTheme="minorEastAsia" w:cstheme="minorEastAsia"/>
                <w:i w:val="0"/>
                <w:caps w:val="0"/>
                <w:color w:val="000000"/>
                <w:spacing w:val="0"/>
                <w:sz w:val="21"/>
                <w:szCs w:val="21"/>
                <w:highlight w:val="none"/>
                <w:lang w:val="en-US" w:eastAsia="zh-CN"/>
              </w:rPr>
              <w:t>45</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投标人必须如实根据所投产品及服务对招标文件“第五章 招标内容及要求 二、技术和服务要求”作出明确的逐项响应承诺,在《技术和服务要求响应表》中列明是否偏离，并对其真实性负责。由评委进行评议并评分：完全满足招标文件要求的得</w:t>
            </w:r>
            <w:r>
              <w:rPr>
                <w:rFonts w:hint="eastAsia" w:asciiTheme="minorEastAsia" w:hAnsiTheme="minorEastAsia" w:cstheme="minorEastAsia"/>
                <w:i w:val="0"/>
                <w:caps w:val="0"/>
                <w:color w:val="000000"/>
                <w:spacing w:val="0"/>
                <w:kern w:val="0"/>
                <w:sz w:val="21"/>
                <w:szCs w:val="21"/>
                <w:highlight w:val="none"/>
                <w:lang w:val="en-US" w:eastAsia="zh-CN" w:bidi="ar"/>
              </w:rPr>
              <w:t>4</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 xml:space="preserve">5分，其中标注“★”符号的技术参数条款（共计 </w:t>
            </w:r>
            <w:r>
              <w:rPr>
                <w:rFonts w:hint="eastAsia" w:asciiTheme="minorEastAsia" w:hAnsiTheme="minorEastAsia" w:cstheme="minorEastAsia"/>
                <w:i w:val="0"/>
                <w:caps w:val="0"/>
                <w:color w:val="000000"/>
                <w:spacing w:val="0"/>
                <w:kern w:val="0"/>
                <w:sz w:val="21"/>
                <w:szCs w:val="21"/>
                <w:highlight w:val="none"/>
                <w:lang w:val="en-US" w:eastAsia="zh-CN" w:bidi="ar"/>
              </w:rPr>
              <w:t>10</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条）为实质性不可偏离条款，一项负偏离，按无效投标处理；标注“▲”符号的技术参数条款（共计</w:t>
            </w:r>
            <w:r>
              <w:rPr>
                <w:rFonts w:hint="eastAsia" w:asciiTheme="minorEastAsia" w:hAnsiTheme="minorEastAsia" w:cstheme="minorEastAsia"/>
                <w:i w:val="0"/>
                <w:caps w:val="0"/>
                <w:color w:val="000000"/>
                <w:spacing w:val="0"/>
                <w:kern w:val="0"/>
                <w:sz w:val="21"/>
                <w:szCs w:val="21"/>
                <w:highlight w:val="none"/>
                <w:lang w:val="en-US" w:eastAsia="zh-CN" w:bidi="ar"/>
              </w:rPr>
              <w:t>3</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条）为重要参数技术条款，一项负偏离扣</w:t>
            </w:r>
            <w:r>
              <w:rPr>
                <w:rFonts w:hint="eastAsia" w:asciiTheme="minorEastAsia" w:hAnsiTheme="minorEastAsia" w:cstheme="minorEastAsia"/>
                <w:i w:val="0"/>
                <w:caps w:val="0"/>
                <w:color w:val="000000"/>
                <w:spacing w:val="0"/>
                <w:kern w:val="0"/>
                <w:sz w:val="21"/>
                <w:szCs w:val="21"/>
                <w:highlight w:val="none"/>
                <w:lang w:val="en-US" w:eastAsia="zh-CN" w:bidi="ar"/>
              </w:rPr>
              <w:t>2</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分，其他一般的技术参数条款（共计</w:t>
            </w:r>
            <w:r>
              <w:rPr>
                <w:rFonts w:hint="eastAsia" w:asciiTheme="minorEastAsia" w:hAnsiTheme="minorEastAsia" w:cstheme="minorEastAsia"/>
                <w:i w:val="0"/>
                <w:caps w:val="0"/>
                <w:color w:val="000000"/>
                <w:spacing w:val="0"/>
                <w:kern w:val="0"/>
                <w:sz w:val="21"/>
                <w:szCs w:val="21"/>
                <w:highlight w:val="none"/>
                <w:lang w:val="en-US" w:eastAsia="zh-CN" w:bidi="ar"/>
              </w:rPr>
              <w:t>390</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条</w:t>
            </w:r>
            <w:r>
              <w:rPr>
                <w:rFonts w:hint="eastAsia" w:asciiTheme="minorEastAsia" w:hAnsiTheme="minorEastAsia" w:cstheme="minorEastAsia"/>
                <w:i w:val="0"/>
                <w:caps w:val="0"/>
                <w:color w:val="000000"/>
                <w:spacing w:val="0"/>
                <w:kern w:val="0"/>
                <w:sz w:val="21"/>
                <w:szCs w:val="21"/>
                <w:highlight w:val="none"/>
                <w:lang w:val="en-US" w:eastAsia="zh-CN" w:bidi="ar"/>
              </w:rPr>
              <w:t>，指标项数统计至阿拉伯数字最底一级序号，以上层级序号指标均计在内</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）为一般参数条款，一项负偏离扣</w:t>
            </w:r>
            <w:r>
              <w:rPr>
                <w:rFonts w:hint="eastAsia" w:asciiTheme="minorEastAsia" w:hAnsiTheme="minorEastAsia" w:cstheme="minorEastAsia"/>
                <w:i w:val="0"/>
                <w:caps w:val="0"/>
                <w:color w:val="000000"/>
                <w:spacing w:val="0"/>
                <w:kern w:val="0"/>
                <w:sz w:val="21"/>
                <w:szCs w:val="21"/>
                <w:highlight w:val="none"/>
                <w:lang w:val="en-US" w:eastAsia="zh-CN" w:bidi="ar"/>
              </w:rPr>
              <w:t>0.</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1分，扣完为止；正偏离不加分。 【注：招标文件中技术指标若有要求投标人提供相应佐证材料的，投标人未提供相应佐证材料或者投标人的响应承诺与其佐证材料不一致的，评标委员会将以不利于投标人的内容为准进行评审（负偏离）】</w:t>
            </w:r>
          </w:p>
        </w:tc>
      </w:tr>
    </w:tbl>
    <w:p>
      <w:pPr>
        <w:keepNext w:val="0"/>
        <w:keepLines w:val="0"/>
        <w:widowControl/>
        <w:suppressLineNumbers w:val="0"/>
        <w:jc w:val="left"/>
        <w:rPr>
          <w:highlight w:val="none"/>
        </w:rPr>
      </w:pPr>
      <w:r>
        <w:rPr>
          <w:rFonts w:hint="eastAsia" w:asciiTheme="minorEastAsia" w:hAnsiTheme="minorEastAsia" w:eastAsiaTheme="minorEastAsia" w:cstheme="minorEastAsia"/>
          <w:sz w:val="21"/>
          <w:szCs w:val="21"/>
          <w:highlight w:val="none"/>
        </w:rPr>
        <w:t>③商务项（F3×A3）满分为</w:t>
      </w:r>
      <w:r>
        <w:rPr>
          <w:rFonts w:hint="eastAsia" w:asciiTheme="minorEastAsia" w:hAnsiTheme="minorEastAsia" w:eastAsiaTheme="minorEastAsia" w:cstheme="minorEastAsia"/>
          <w:sz w:val="21"/>
          <w:szCs w:val="21"/>
          <w:highlight w:val="none"/>
          <w:u w:val="single"/>
        </w:rPr>
        <w:t>10</w:t>
      </w:r>
      <w:r>
        <w:rPr>
          <w:rFonts w:hint="eastAsia" w:asciiTheme="minorEastAsia" w:hAnsiTheme="minorEastAsia" w:eastAsiaTheme="minorEastAsia" w:cstheme="minorEastAsia"/>
          <w:sz w:val="21"/>
          <w:szCs w:val="21"/>
          <w:highlight w:val="none"/>
        </w:rPr>
        <w:t>分。</w:t>
      </w:r>
    </w:p>
    <w:tbl>
      <w:tblPr>
        <w:tblStyle w:val="8"/>
        <w:tblW w:w="0" w:type="auto"/>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708"/>
        <w:gridCol w:w="364"/>
        <w:gridCol w:w="7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评标项目</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评标分值</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B1、技术培训方案</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cstheme="minorEastAsia"/>
                <w:i w:val="0"/>
                <w:caps w:val="0"/>
                <w:color w:val="000000"/>
                <w:spacing w:val="0"/>
                <w:kern w:val="0"/>
                <w:sz w:val="21"/>
                <w:szCs w:val="21"/>
                <w:highlight w:val="none"/>
                <w:lang w:val="en-US" w:eastAsia="zh-CN" w:bidi="ar"/>
              </w:rPr>
              <w:t>2</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根据投标人提供的现场技术培训方案（重点阐述对采购人的管理人员、操作人员及设备维护人员培训计划、培训内容、学术支持等承诺情况）进行评分：方案完整、详尽、计划合理、可行、满足项目需求的得</w:t>
            </w:r>
            <w:r>
              <w:rPr>
                <w:rFonts w:hint="eastAsia" w:asciiTheme="minorEastAsia" w:hAnsiTheme="minorEastAsia" w:cstheme="minorEastAsia"/>
                <w:i w:val="0"/>
                <w:caps w:val="0"/>
                <w:color w:val="000000"/>
                <w:spacing w:val="0"/>
                <w:kern w:val="0"/>
                <w:sz w:val="21"/>
                <w:szCs w:val="21"/>
                <w:highlight w:val="none"/>
                <w:lang w:val="en-US" w:eastAsia="zh-CN" w:bidi="ar"/>
              </w:rPr>
              <w:t>2</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分，方案完整，总体科学合理、可行，虽存在部分内容表述不清但满足项目需求的得</w:t>
            </w:r>
            <w:r>
              <w:rPr>
                <w:rFonts w:hint="eastAsia" w:asciiTheme="minorEastAsia" w:hAnsiTheme="minorEastAsia" w:cstheme="minorEastAsia"/>
                <w:i w:val="0"/>
                <w:caps w:val="0"/>
                <w:color w:val="000000"/>
                <w:spacing w:val="0"/>
                <w:kern w:val="0"/>
                <w:sz w:val="21"/>
                <w:szCs w:val="21"/>
                <w:highlight w:val="none"/>
                <w:lang w:val="en-US" w:eastAsia="zh-CN" w:bidi="ar"/>
              </w:rPr>
              <w:t>1</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分；方案缺漏较多，但提供的内容总体合理的得</w:t>
            </w:r>
            <w:r>
              <w:rPr>
                <w:rFonts w:hint="eastAsia" w:asciiTheme="minorEastAsia" w:hAnsiTheme="minorEastAsia" w:cstheme="minorEastAsia"/>
                <w:i w:val="0"/>
                <w:caps w:val="0"/>
                <w:color w:val="000000"/>
                <w:spacing w:val="0"/>
                <w:kern w:val="0"/>
                <w:sz w:val="21"/>
                <w:szCs w:val="21"/>
                <w:highlight w:val="none"/>
                <w:lang w:val="en-US" w:eastAsia="zh-CN" w:bidi="ar"/>
              </w:rPr>
              <w:t>0.5</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分，未提供方案的不得分。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B2、售后服务情况</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3</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根据各投标人提供的售后服务响应方案（重点阐述对招标文件要求的售后服务承诺情况、包括具体的售后服务内容、售后服务机构设置的便捷性、故障响应方式、时间，承诺维修人员到达现场时间等方面）情况由评委进行评分：售后服务承诺详尽、合理、完善，故障响应时间短，服务承诺优于招标文件要求且最有利于采购人的得3分，售后服务承诺完整 、总体合理、服务承诺优于招标文件且有价值的得2分，有提供售后服务承诺，基本满足招标文件要求的得1分，未做说明的不得分。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ind w:left="0" w:firstLine="0"/>
              <w:jc w:val="left"/>
              <w:rPr>
                <w:rFonts w:hint="default" w:asciiTheme="minorEastAsia" w:hAnsiTheme="minorEastAsia" w:eastAsiaTheme="minorEastAsia" w:cstheme="minorEastAsia"/>
                <w:i w:val="0"/>
                <w:caps w:val="0"/>
                <w:color w:val="000000"/>
                <w:spacing w:val="0"/>
                <w:sz w:val="21"/>
                <w:szCs w:val="21"/>
                <w:highlight w:val="none"/>
                <w:lang w:val="en-US"/>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B3、</w:t>
            </w:r>
            <w:r>
              <w:rPr>
                <w:rFonts w:hint="eastAsia" w:asciiTheme="minorEastAsia" w:hAnsiTheme="minorEastAsia" w:cstheme="minorEastAsia"/>
                <w:i w:val="0"/>
                <w:caps w:val="0"/>
                <w:color w:val="000000"/>
                <w:spacing w:val="0"/>
                <w:kern w:val="0"/>
                <w:sz w:val="21"/>
                <w:szCs w:val="21"/>
                <w:highlight w:val="none"/>
                <w:lang w:val="en-US" w:eastAsia="zh-CN" w:bidi="ar"/>
              </w:rPr>
              <w:t>业绩</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3</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根据投标人提供201</w:t>
            </w:r>
            <w:r>
              <w:rPr>
                <w:rFonts w:hint="eastAsia" w:asciiTheme="minorEastAsia" w:hAnsiTheme="minorEastAsia" w:cstheme="minorEastAsia"/>
                <w:i w:val="0"/>
                <w:caps w:val="0"/>
                <w:color w:val="000000"/>
                <w:spacing w:val="0"/>
                <w:kern w:val="0"/>
                <w:sz w:val="21"/>
                <w:szCs w:val="21"/>
                <w:highlight w:val="none"/>
                <w:lang w:val="en-US" w:eastAsia="zh-CN" w:bidi="ar"/>
              </w:rPr>
              <w:t>9</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年1月1日起至本项目投标截止时间止(日期以验收报告为准)同类产品项目业绩情况由评委进行评议并评分：每提供一份业绩得1</w:t>
            </w:r>
            <w:r>
              <w:rPr>
                <w:rFonts w:hint="eastAsia" w:asciiTheme="minorEastAsia" w:hAnsiTheme="minorEastAsia" w:cstheme="minorEastAsia"/>
                <w:i w:val="0"/>
                <w:caps w:val="0"/>
                <w:color w:val="000000"/>
                <w:spacing w:val="0"/>
                <w:kern w:val="0"/>
                <w:sz w:val="21"/>
                <w:szCs w:val="21"/>
                <w:highlight w:val="none"/>
                <w:lang w:val="en-US" w:eastAsia="zh-CN" w:bidi="ar"/>
              </w:rPr>
              <w:t>.5</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分，满分3分。投标人应如实提供该业绩项目的中标公告（提供相关网站中标公告的下载网页并注明网址）、中标通知书复印件、采购合同文本复印件，以及能够证明该业绩项目已经采购人验收合格的相关证明文件复印件。未提供完整证明文件复印件的不得分；评标过程中如发现填报不实，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B4、保修期情况</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cstheme="minorEastAsia"/>
                <w:i w:val="0"/>
                <w:caps w:val="0"/>
                <w:color w:val="000000"/>
                <w:spacing w:val="0"/>
                <w:kern w:val="0"/>
                <w:sz w:val="21"/>
                <w:szCs w:val="21"/>
                <w:highlight w:val="none"/>
                <w:lang w:val="en-US" w:eastAsia="zh-CN" w:bidi="ar"/>
              </w:rPr>
              <w:t>2</w:t>
            </w:r>
          </w:p>
        </w:tc>
        <w:tc>
          <w:tcPr>
            <w:tcW w:w="0" w:type="auto"/>
            <w:shd w:val="clear" w:color="auto" w:fill="auto"/>
            <w:vAlign w:val="center"/>
          </w:tcPr>
          <w:p>
            <w:pPr>
              <w:keepNext w:val="0"/>
              <w:keepLines w:val="0"/>
              <w:widowControl/>
              <w:suppressLineNumbers w:val="0"/>
              <w:ind w:left="0" w:firstLine="0"/>
              <w:jc w:val="left"/>
              <w:rPr>
                <w:rFonts w:hint="eastAsia" w:asciiTheme="minorEastAsia" w:hAnsiTheme="minorEastAsia" w:eastAsiaTheme="minorEastAsia" w:cstheme="minorEastAsia"/>
                <w:i w:val="0"/>
                <w:caps w:val="0"/>
                <w:color w:val="000000"/>
                <w:spacing w:val="0"/>
                <w:sz w:val="21"/>
                <w:szCs w:val="21"/>
                <w:highlight w:val="none"/>
              </w:rPr>
            </w:pP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在满足招标文件要求的保修期年限基础上，投标人承诺每延长保修</w:t>
            </w:r>
            <w:r>
              <w:rPr>
                <w:rFonts w:hint="eastAsia" w:asciiTheme="minorEastAsia" w:hAnsiTheme="minorEastAsia" w:cstheme="minorEastAsia"/>
                <w:i w:val="0"/>
                <w:caps w:val="0"/>
                <w:color w:val="000000"/>
                <w:spacing w:val="0"/>
                <w:kern w:val="0"/>
                <w:sz w:val="21"/>
                <w:szCs w:val="21"/>
                <w:highlight w:val="none"/>
                <w:lang w:val="en-US" w:eastAsia="zh-CN" w:bidi="ar"/>
              </w:rPr>
              <w:t>半</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年得1分，满分</w:t>
            </w:r>
            <w:r>
              <w:rPr>
                <w:rFonts w:hint="eastAsia" w:asciiTheme="minorEastAsia" w:hAnsiTheme="minorEastAsia" w:cstheme="minorEastAsia"/>
                <w:i w:val="0"/>
                <w:caps w:val="0"/>
                <w:color w:val="000000"/>
                <w:spacing w:val="0"/>
                <w:kern w:val="0"/>
                <w:sz w:val="21"/>
                <w:szCs w:val="21"/>
                <w:highlight w:val="none"/>
                <w:lang w:val="en-US" w:eastAsia="zh-CN" w:bidi="ar"/>
              </w:rPr>
              <w:t>2</w:t>
            </w:r>
            <w:r>
              <w:rPr>
                <w:rFonts w:hint="eastAsia" w:asciiTheme="minorEastAsia" w:hAnsiTheme="minorEastAsia" w:eastAsiaTheme="minorEastAsia" w:cstheme="minorEastAsia"/>
                <w:i w:val="0"/>
                <w:caps w:val="0"/>
                <w:color w:val="000000"/>
                <w:spacing w:val="0"/>
                <w:kern w:val="0"/>
                <w:sz w:val="21"/>
                <w:szCs w:val="21"/>
                <w:highlight w:val="none"/>
                <w:lang w:val="en-US" w:eastAsia="zh-CN" w:bidi="ar"/>
              </w:rPr>
              <w:t>分。（需提供承诺函，否则不得分）</w:t>
            </w:r>
          </w:p>
        </w:tc>
      </w:tr>
    </w:tbl>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④加分项（F4×A4）</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a.优先类节能产品、环境标志产品：</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1若同一合同包内节能、环境标志产品报价总金额低于该合同包报价总金额20%（含20%）以下，将分别给予节能、环境标志产品价格项（F1×A1，按照满分计）和技术项（F2×A2，按照满分计）4%的加分；若同一合同包内节能、环境标志产品报价总金额占该合同包报价总金额20%-50%（含50%），将分别给予节能、环境标志产品价格项（F1×A1，按照满分计）和技术项（F2×A2，按照满分计）6%的加分；若同一合同包内节能、环境标志产品报价总金额占该合同包报价总金额50%以上的，将分别给予节能、环境标志产品价格项（F1×A1，按照满分计）和技术项（F2×A2，按照满分计）8%的加分。</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a2若节能、环境标志产品仅是构成投标产品的部件、组件或零件，则该投标产品不享受鼓励优惠政策。同一品目中各认证证书不重复计算加分。强制类节能产品不享受加分。</w:t>
      </w:r>
    </w:p>
    <w:tbl>
      <w:tblPr>
        <w:tblStyle w:val="8"/>
        <w:tblW w:w="8504" w:type="dxa"/>
        <w:tblInd w:w="0" w:type="dxa"/>
        <w:shd w:val="clear" w:color="auto" w:fill="auto"/>
        <w:tblLayout w:type="autofit"/>
        <w:tblCellMar>
          <w:top w:w="0" w:type="dxa"/>
          <w:left w:w="0" w:type="dxa"/>
          <w:bottom w:w="0" w:type="dxa"/>
          <w:right w:w="0" w:type="dxa"/>
        </w:tblCellMar>
      </w:tblPr>
      <w:tblGrid>
        <w:gridCol w:w="1270"/>
        <w:gridCol w:w="850"/>
        <w:gridCol w:w="6384"/>
      </w:tblGrid>
      <w:tr>
        <w:tblPrEx>
          <w:shd w:val="clear" w:color="auto" w:fill="auto"/>
          <w:tblCellMar>
            <w:top w:w="0" w:type="dxa"/>
            <w:left w:w="0" w:type="dxa"/>
            <w:bottom w:w="0" w:type="dxa"/>
            <w:right w:w="0" w:type="dxa"/>
          </w:tblCellMar>
        </w:tblPrEx>
        <w:trPr>
          <w:tblHeader/>
        </w:trPr>
        <w:tc>
          <w:tcPr>
            <w:tcW w:w="1270" w:type="dxa"/>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评标项目</w:t>
            </w:r>
          </w:p>
        </w:tc>
        <w:tc>
          <w:tcPr>
            <w:tcW w:w="850" w:type="dxa"/>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评标分值</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评标方法描述</w:t>
            </w:r>
          </w:p>
        </w:tc>
      </w:tr>
      <w:tr>
        <w:tblPrEx>
          <w:shd w:val="clear" w:color="auto" w:fill="auto"/>
          <w:tblCellMar>
            <w:top w:w="0" w:type="dxa"/>
            <w:left w:w="0" w:type="dxa"/>
            <w:bottom w:w="0" w:type="dxa"/>
            <w:right w:w="0" w:type="dxa"/>
          </w:tblCellMar>
        </w:tblPrEx>
        <w:tc>
          <w:tcPr>
            <w:tcW w:w="1270" w:type="dxa"/>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节能、环境标志产品在采购活动中可享有的加分优惠</w:t>
            </w:r>
          </w:p>
        </w:tc>
        <w:tc>
          <w:tcPr>
            <w:tcW w:w="850" w:type="dxa"/>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7.2</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1、执行《财政部 发展改革委 生态环境部 市场监管总局关于调整优化节能产品、环境标志产品政府采购执行机制的通知》（财库〔2019〕9号）、《关于印发环境标志产品政府采购品目清单的通知》财库〔2019〕18号 和《关于印发节能产品政府采购品目清单的通知》(财库〔2019〕19号)、《市场监管总局关于发布参与实施政府采购节能产品、环境标志产品认证机构名录的公告》（2019年第16号）规定。 2、投标产品属于节能（非强制类）、环境标志产品清单内产品的将给予相应评标项总分值一定幅度的加分。 具体优惠幅度如下： （1）同一合同包内的节能（非强制类）、环境标志产品各报价总金额占本合同包报价总金额 20%（含20%）以下，价格评标项：价格评标项标准总分值4%的加分； 技术评标项：技术评标项标准总分值4%的加分。 （2）同一合同包内的节能（非强制类）、环境标志产品各报价总金额占本合同包报价总金额在20%-50%（含50%） 之间的，价格评标项：价格评标项标准总分值6%的加分； 技术评标项：技术评标项标准总分值6%的加分。（3）同一合同包内的节能（非强制类）、环境标志产品各报价总金额占本合同包报价总金额50%以上的， 价格评标项：价格评标项标准总分值8%的加分；技术评标项：技术评标项标准总分值8%的加分。 3、投标人在投标时必须对属于节能、环境标志产品单独在节能（非强制类）、环境标志产品统计表中填写，并提供产品的证明资料复印件并附在报价部分(电子证明资料应上传在对应评分模块)且加盖投标人公章。未单独分项报价或未按规定提供产品的证明资料的不给予加分。 4、同一品目中各认证证书不重复计算加分。 5、根据闽财购〔2010〕28号文规定，若节能、环境标志清单内的产品仅是构成投标产品的部件、组件或零件的，则该投标产品不享受鼓励优惠政策。</w:t>
            </w:r>
          </w:p>
        </w:tc>
      </w:tr>
    </w:tbl>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（4）中标候选人排列规则顺序如下：</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a.按照评标总得分（FA）由高到低顺序排列。</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b.评标总得分（FA）相同的，按照评标价（即价格扣除后的投标报价）由低到高顺序排列。</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c.评标总得分（FA）且评标价（即价格扣除后的投标报价）相同的并列。</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8、其他规定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8.1评标应全程保密且不得透露给任一投标人或与评标工作无关的人员。</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8.2评标将进行全程实时录音录像，录音录像资料随采购文件一并存档。</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8.3若投标人有任何试图干扰具体评标事务，影响评标委员会独立履行职责的行为，其投标无效且不予退还投标保证金。情节严重的，由财政部门列入不良行为记录。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8.4其他：无。</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sz w:val="21"/>
          <w:szCs w:val="21"/>
          <w:highlight w:val="none"/>
        </w:rPr>
      </w:pPr>
      <w:r>
        <w:rPr>
          <w:rFonts w:hint="eastAsia" w:ascii="宋体" w:hAnsi="宋体" w:eastAsia="宋体" w:cs="宋体"/>
          <w:spacing w:val="0"/>
          <w:sz w:val="21"/>
          <w:szCs w:val="21"/>
          <w:highlight w:val="none"/>
        </w:rPr>
        <w:t> </w:t>
      </w:r>
    </w:p>
    <w:p>
      <w:pPr>
        <w:rPr>
          <w:rStyle w:val="10"/>
          <w:rFonts w:hint="eastAsia" w:ascii="宋体" w:hAnsi="宋体" w:eastAsia="宋体" w:cs="宋体"/>
          <w:b/>
          <w:spacing w:val="0"/>
          <w:sz w:val="21"/>
          <w:szCs w:val="21"/>
          <w:highlight w:val="none"/>
        </w:rPr>
      </w:pPr>
      <w:r>
        <w:rPr>
          <w:rStyle w:val="10"/>
          <w:rFonts w:hint="eastAsia" w:ascii="宋体" w:hAnsi="宋体" w:eastAsia="宋体" w:cs="宋体"/>
          <w:b/>
          <w:spacing w:val="0"/>
          <w:sz w:val="21"/>
          <w:szCs w:val="21"/>
          <w:highlight w:val="none"/>
        </w:rPr>
        <w:br w:type="page"/>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44"/>
          <w:szCs w:val="44"/>
          <w:highlight w:val="none"/>
          <w:lang w:val="en-US" w:eastAsia="zh-CN" w:bidi="ar-SA"/>
        </w:rPr>
      </w:pPr>
      <w:r>
        <w:rPr>
          <w:rFonts w:hint="eastAsia" w:ascii="宋体" w:hAnsi="宋体" w:eastAsia="宋体" w:cs="宋体"/>
          <w:b/>
          <w:bCs/>
          <w:kern w:val="0"/>
          <w:sz w:val="32"/>
          <w:szCs w:val="32"/>
          <w:highlight w:val="none"/>
          <w:lang w:val="en-US" w:eastAsia="zh-CN" w:bidi="ar-SA"/>
        </w:rPr>
        <w:t>第五章   招标内容及要求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一、项目概况（采购标的）</w:t>
      </w:r>
    </w:p>
    <w:p>
      <w:pPr>
        <w:pStyle w:val="7"/>
        <w:keepNext w:val="0"/>
        <w:keepLines w:val="0"/>
        <w:widowControl/>
        <w:suppressLineNumbers w:val="0"/>
        <w:spacing w:before="60" w:beforeAutospacing="0" w:after="60" w:afterAutospacing="0"/>
        <w:ind w:left="0" w:right="0" w:firstLine="420" w:firstLineChars="200"/>
        <w:rPr>
          <w:rFonts w:hint="default" w:asciiTheme="minorEastAsia" w:hAnsiTheme="minorEastAsia" w:eastAsiaTheme="minorEastAsia" w:cstheme="minorEastAsia"/>
          <w:spacing w:val="0"/>
          <w:sz w:val="21"/>
          <w:szCs w:val="21"/>
          <w:highlight w:val="none"/>
          <w:lang w:val="en-US" w:eastAsia="zh-CN"/>
        </w:rPr>
      </w:pPr>
      <w:r>
        <w:rPr>
          <w:rFonts w:hint="eastAsia" w:asciiTheme="minorEastAsia" w:hAnsiTheme="minorEastAsia" w:cstheme="minorEastAsia"/>
          <w:spacing w:val="0"/>
          <w:sz w:val="21"/>
          <w:szCs w:val="21"/>
          <w:highlight w:val="none"/>
          <w:lang w:val="en-US" w:eastAsia="zh-CN"/>
        </w:rPr>
        <w:t>本项目为福建省福州结核病防治院直线加速器及大孔径模拟定位CT货物类采购项目。</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二、技术和服务要求</w:t>
      </w:r>
      <w:r>
        <w:rPr>
          <w:rStyle w:val="10"/>
          <w:rFonts w:hint="eastAsia" w:asciiTheme="minorEastAsia" w:hAnsiTheme="minorEastAsia" w:eastAsiaTheme="minorEastAsia" w:cstheme="minorEastAsia"/>
          <w:b/>
          <w:spacing w:val="0"/>
          <w:sz w:val="21"/>
          <w:szCs w:val="21"/>
          <w:highlight w:val="none"/>
        </w:rPr>
        <w:t>（以“★”标示的内容为不允许负偏离的实质性要求）</w:t>
      </w:r>
    </w:p>
    <w:p>
      <w:pPr>
        <w:rPr>
          <w:rFonts w:hint="eastAsia"/>
          <w:highlight w:val="none"/>
        </w:rPr>
      </w:pPr>
      <w:r>
        <w:rPr>
          <w:rFonts w:hint="eastAsia"/>
          <w:highlight w:val="none"/>
          <w:lang w:eastAsia="zh-CN"/>
        </w:rPr>
        <w:t>（</w:t>
      </w:r>
      <w:r>
        <w:rPr>
          <w:rFonts w:hint="eastAsia"/>
          <w:highlight w:val="none"/>
        </w:rPr>
        <w:t>一</w:t>
      </w:r>
      <w:r>
        <w:rPr>
          <w:rFonts w:hint="eastAsia"/>
          <w:highlight w:val="none"/>
          <w:lang w:eastAsia="zh-CN"/>
        </w:rPr>
        <w:t>）</w:t>
      </w:r>
      <w:r>
        <w:rPr>
          <w:rFonts w:hint="eastAsia"/>
          <w:highlight w:val="none"/>
        </w:rPr>
        <w:t>、直线加速器</w:t>
      </w:r>
    </w:p>
    <w:p>
      <w:pPr>
        <w:rPr>
          <w:rFonts w:hint="eastAsia"/>
          <w:b/>
          <w:bCs/>
          <w:color w:val="auto"/>
          <w:highlight w:val="none"/>
        </w:rPr>
      </w:pPr>
      <w:r>
        <w:rPr>
          <w:rFonts w:hint="eastAsia"/>
          <w:b/>
          <w:bCs/>
          <w:color w:val="auto"/>
          <w:highlight w:val="none"/>
        </w:rPr>
        <w:t>标“</w:t>
      </w:r>
      <w:r>
        <w:rPr>
          <w:rFonts w:hint="eastAsia" w:ascii="宋体" w:hAnsi="宋体" w:cs="宋体"/>
          <w:b/>
          <w:bCs/>
          <w:color w:val="auto"/>
          <w:szCs w:val="21"/>
          <w:highlight w:val="none"/>
        </w:rPr>
        <w:t>★</w:t>
      </w:r>
      <w:r>
        <w:rPr>
          <w:rFonts w:hint="eastAsia"/>
          <w:b/>
          <w:bCs/>
          <w:color w:val="auto"/>
          <w:highlight w:val="none"/>
        </w:rPr>
        <w:t>”</w:t>
      </w:r>
      <w:r>
        <w:rPr>
          <w:rFonts w:hint="eastAsia"/>
          <w:b/>
          <w:bCs/>
          <w:color w:val="auto"/>
          <w:highlight w:val="none"/>
          <w:lang w:val="en-US" w:eastAsia="zh-CN"/>
        </w:rPr>
        <w:t>与“</w:t>
      </w:r>
      <w:r>
        <w:rPr>
          <w:rFonts w:hint="eastAsia" w:asciiTheme="minorEastAsia" w:hAnsiTheme="minorEastAsia"/>
          <w:highlight w:val="none"/>
        </w:rPr>
        <w:t>▲</w:t>
      </w:r>
      <w:r>
        <w:rPr>
          <w:rFonts w:hint="eastAsia" w:asciiTheme="minorEastAsia" w:hAnsiTheme="minorEastAsia"/>
          <w:highlight w:val="none"/>
          <w:lang w:eastAsia="zh-CN"/>
        </w:rPr>
        <w:t>”</w:t>
      </w:r>
      <w:r>
        <w:rPr>
          <w:rFonts w:hint="eastAsia"/>
          <w:b/>
          <w:bCs/>
          <w:color w:val="auto"/>
          <w:highlight w:val="none"/>
        </w:rPr>
        <w:t>必须提供技术白皮书或彩页佐证</w:t>
      </w:r>
    </w:p>
    <w:tbl>
      <w:tblPr>
        <w:tblStyle w:val="8"/>
        <w:tblW w:w="75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8"/>
        <w:gridCol w:w="6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center"/>
              <w:rPr>
                <w:rFonts w:ascii="宋体" w:hAnsi="宋体" w:cs="宋体"/>
                <w:b/>
                <w:bCs/>
                <w:color w:val="000000"/>
                <w:kern w:val="0"/>
                <w:szCs w:val="21"/>
                <w:highlight w:val="none"/>
              </w:rPr>
            </w:pPr>
          </w:p>
          <w:p>
            <w:pPr>
              <w:widowControl/>
              <w:jc w:val="center"/>
              <w:rPr>
                <w:rFonts w:ascii="宋体" w:hAnsi="宋体" w:cs="宋体"/>
                <w:b/>
                <w:bCs/>
                <w:color w:val="000000"/>
                <w:kern w:val="0"/>
                <w:szCs w:val="21"/>
                <w:highlight w:val="none"/>
              </w:rPr>
            </w:pPr>
          </w:p>
        </w:tc>
        <w:tc>
          <w:tcPr>
            <w:tcW w:w="6233" w:type="dxa"/>
            <w:vAlign w:val="center"/>
          </w:tcPr>
          <w:p>
            <w:pPr>
              <w:widowControl/>
              <w:jc w:val="center"/>
              <w:rPr>
                <w:rFonts w:hint="default" w:ascii="宋体" w:hAnsi="宋体" w:cs="宋体" w:eastAsiaTheme="minorEastAsia"/>
                <w:b/>
                <w:bCs/>
                <w:color w:val="000000"/>
                <w:kern w:val="0"/>
                <w:szCs w:val="21"/>
                <w:highlight w:val="none"/>
                <w:lang w:val="en-US" w:eastAsia="zh-CN"/>
              </w:rPr>
            </w:pPr>
            <w:r>
              <w:rPr>
                <w:rFonts w:hint="eastAsia" w:ascii="宋体" w:hAnsi="宋体" w:cs="宋体"/>
                <w:b/>
                <w:bCs/>
                <w:color w:val="000000"/>
                <w:kern w:val="0"/>
                <w:szCs w:val="21"/>
                <w:highlight w:val="none"/>
              </w:rPr>
              <w:t>技术规格</w:t>
            </w:r>
            <w:r>
              <w:rPr>
                <w:rFonts w:hint="eastAsia" w:ascii="宋体" w:hAnsi="宋体" w:cs="宋体"/>
                <w:b/>
                <w:bCs/>
                <w:color w:val="000000"/>
                <w:kern w:val="0"/>
                <w:szCs w:val="21"/>
                <w:highlight w:val="none"/>
                <w:lang w:val="en-US" w:eastAsia="zh-CN"/>
              </w:rPr>
              <w:t>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1</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主机基本要求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1.1</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所投设备必须具备四维成像功能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加速管：采用行波或驻波技术，质保≥10年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微波功率源：磁控管或速调管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微波输出的峰值功率≥5MW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1.5</w:t>
            </w:r>
          </w:p>
        </w:tc>
        <w:tc>
          <w:tcPr>
            <w:tcW w:w="6233" w:type="dxa"/>
            <w:vAlign w:val="center"/>
          </w:tcPr>
          <w:p>
            <w:pPr>
              <w:pStyle w:val="4"/>
              <w:rPr>
                <w:rFonts w:ascii="宋体" w:hAnsi="宋体" w:cs="宋体"/>
                <w:color w:val="000000"/>
                <w:kern w:val="0"/>
                <w:szCs w:val="21"/>
                <w:highlight w:val="none"/>
              </w:rPr>
            </w:pPr>
            <w:r>
              <w:rPr>
                <w:rFonts w:hint="eastAsia" w:ascii="宋体" w:hAnsi="宋体" w:cs="宋体"/>
                <w:color w:val="000000"/>
                <w:kern w:val="0"/>
                <w:szCs w:val="21"/>
                <w:highlight w:val="none"/>
              </w:rPr>
              <w:t>束流偏转与输出系统：滑雪式磁偏转系统或270°</w:t>
            </w:r>
            <w:r>
              <w:rPr>
                <w:rFonts w:hint="eastAsia" w:ascii="宋体" w:hAnsi="宋体" w:cs="宋体"/>
                <w:color w:val="000000"/>
                <w:kern w:val="0"/>
                <w:szCs w:val="21"/>
                <w:highlight w:val="none"/>
                <w:lang w:eastAsia="zh-CN"/>
              </w:rPr>
              <w:t>（</w:t>
            </w:r>
            <w:r>
              <w:rPr>
                <w:rFonts w:hint="eastAsia" w:asciiTheme="minorEastAsia" w:hAnsiTheme="minorEastAsia"/>
                <w:highlight w:val="none"/>
              </w:rPr>
              <w:t>±</w:t>
            </w:r>
            <w:r>
              <w:rPr>
                <w:rFonts w:hint="eastAsia"/>
                <w:highlight w:val="none"/>
              </w:rPr>
              <w:t>1</w:t>
            </w:r>
            <w:r>
              <w:rPr>
                <w:rFonts w:hint="eastAsia"/>
                <w:highlight w:val="none"/>
                <w:lang w:eastAsia="zh-CN"/>
              </w:rPr>
              <w:t>）</w:t>
            </w:r>
            <w:r>
              <w:rPr>
                <w:rFonts w:hint="eastAsia" w:ascii="宋体" w:hAnsi="宋体" w:cs="宋体"/>
                <w:color w:val="000000"/>
                <w:kern w:val="0"/>
                <w:szCs w:val="21"/>
                <w:highlight w:val="none"/>
              </w:rPr>
              <w:t>偏转系统。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加速器内部的计算机控制体系应为全数字系统。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2</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X射线束特性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宋体"/>
                <w:szCs w:val="21"/>
                <w:highlight w:val="none"/>
              </w:rPr>
              <w:t>★</w:t>
            </w:r>
            <w:r>
              <w:rPr>
                <w:rFonts w:ascii="宋体" w:hAnsi="宋体" w:cs="Arial"/>
                <w:color w:val="000000"/>
                <w:kern w:val="0"/>
                <w:szCs w:val="21"/>
                <w:highlight w:val="none"/>
              </w:rPr>
              <w:t>2.1</w:t>
            </w:r>
          </w:p>
        </w:tc>
        <w:tc>
          <w:tcPr>
            <w:tcW w:w="6233" w:type="dxa"/>
            <w:vAlign w:val="center"/>
          </w:tcPr>
          <w:p>
            <w:pPr>
              <w:pStyle w:val="4"/>
              <w:rPr>
                <w:rFonts w:ascii="宋体" w:hAnsi="宋体" w:cs="宋体"/>
                <w:color w:val="000000"/>
                <w:kern w:val="0"/>
                <w:szCs w:val="21"/>
                <w:highlight w:val="none"/>
              </w:rPr>
            </w:pPr>
            <w:r>
              <w:rPr>
                <w:rFonts w:hint="eastAsia" w:ascii="宋体" w:hAnsi="宋体" w:cs="宋体"/>
                <w:color w:val="000000"/>
                <w:kern w:val="0"/>
                <w:szCs w:val="21"/>
                <w:highlight w:val="none"/>
              </w:rPr>
              <w:t>X射线能量  6MV、10MV</w:t>
            </w:r>
            <w:r>
              <w:rPr>
                <w:rFonts w:hint="eastAsia" w:asciiTheme="minorEastAsia" w:hAnsiTheme="minorEastAsia"/>
                <w:highlight w:val="none"/>
              </w:rPr>
              <w:t>≥</w:t>
            </w:r>
            <w:r>
              <w:rPr>
                <w:rFonts w:hint="eastAsia" w:ascii="宋体" w:hAnsi="宋体" w:cs="宋体"/>
                <w:color w:val="000000"/>
                <w:kern w:val="0"/>
                <w:szCs w:val="21"/>
                <w:highlight w:val="none"/>
              </w:rPr>
              <w:t>两档。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2.2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射野尺寸：0.5×0.5cm至40×40cm连续可调（SSD=100cm）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2.3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X射线平坦度：5 cm x 5 cm 至30 cm x 30 cm:≤106%；</w:t>
            </w:r>
          </w:p>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大于30cm</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x 30 cm：≤110%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2.4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X射线对称性≤1.03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2.5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剂量率变化档：≥255档, 连续自由跳跃改变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2.6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光野与射野的一致性：≤1mm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2.7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准直器射线透射率：≤0.5%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3</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电子线射线束特性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宋体"/>
                <w:szCs w:val="21"/>
                <w:highlight w:val="none"/>
              </w:rPr>
              <w:t>★</w:t>
            </w:r>
            <w:r>
              <w:rPr>
                <w:rFonts w:ascii="宋体" w:hAnsi="宋体" w:cs="Arial"/>
                <w:color w:val="000000"/>
                <w:kern w:val="0"/>
                <w:szCs w:val="21"/>
                <w:highlight w:val="none"/>
              </w:rPr>
              <w:t>3.1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电子线能量规格：提供多档</w:t>
            </w:r>
            <w:r>
              <w:rPr>
                <w:rFonts w:ascii="宋体" w:hAnsi="宋体" w:cs="宋体"/>
                <w:color w:val="000000"/>
                <w:kern w:val="0"/>
                <w:szCs w:val="21"/>
                <w:highlight w:val="none"/>
              </w:rPr>
              <w:t>电子线</w:t>
            </w:r>
            <w:r>
              <w:rPr>
                <w:rFonts w:hint="eastAsia" w:ascii="宋体" w:hAnsi="宋体" w:cs="宋体"/>
                <w:color w:val="000000"/>
                <w:kern w:val="0"/>
                <w:szCs w:val="21"/>
                <w:highlight w:val="none"/>
              </w:rPr>
              <w:t>能量可选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3.2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电子线平坦度≤1.03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3.3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电子线对称性≤1.03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3.4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电子线的X线污染：≤12MeV:≤2%；＞12MeV:≤4%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3.5</w:t>
            </w:r>
          </w:p>
        </w:tc>
        <w:tc>
          <w:tcPr>
            <w:tcW w:w="6233" w:type="dxa"/>
            <w:vAlign w:val="center"/>
          </w:tcPr>
          <w:p>
            <w:pPr>
              <w:pStyle w:val="4"/>
              <w:rPr>
                <w:rFonts w:ascii="宋体" w:hAnsi="宋体" w:cs="宋体"/>
                <w:color w:val="000000"/>
                <w:kern w:val="0"/>
                <w:szCs w:val="21"/>
                <w:highlight w:val="none"/>
              </w:rPr>
            </w:pPr>
            <w:r>
              <w:rPr>
                <w:rFonts w:hint="eastAsia" w:ascii="宋体" w:hAnsi="宋体" w:cs="宋体"/>
                <w:color w:val="000000"/>
                <w:kern w:val="0"/>
                <w:szCs w:val="21"/>
                <w:highlight w:val="none"/>
              </w:rPr>
              <w:t>电子线限光筒：射野6cm×6cm</w:t>
            </w:r>
            <w:r>
              <w:rPr>
                <w:rFonts w:ascii="宋体" w:hAnsi="宋体" w:cs="宋体"/>
                <w:color w:val="000000"/>
                <w:kern w:val="0"/>
                <w:szCs w:val="21"/>
                <w:highlight w:val="none"/>
              </w:rPr>
              <w:t>—</w:t>
            </w:r>
            <w:r>
              <w:rPr>
                <w:rFonts w:hint="eastAsia" w:ascii="宋体" w:hAnsi="宋体" w:cs="宋体"/>
                <w:color w:val="000000"/>
                <w:kern w:val="0"/>
                <w:szCs w:val="21"/>
                <w:highlight w:val="none"/>
              </w:rPr>
              <w:t>25cm×25cm范围内用户可选择</w:t>
            </w:r>
            <w:r>
              <w:rPr>
                <w:rFonts w:hint="eastAsia" w:asciiTheme="minorEastAsia" w:hAnsiTheme="minorEastAsia"/>
                <w:highlight w:val="none"/>
              </w:rPr>
              <w:t>≥</w:t>
            </w:r>
            <w:r>
              <w:rPr>
                <w:rFonts w:hint="eastAsia" w:ascii="宋体" w:hAnsi="宋体" w:cs="宋体"/>
                <w:color w:val="000000"/>
                <w:kern w:val="0"/>
                <w:szCs w:val="21"/>
                <w:highlight w:val="none"/>
              </w:rPr>
              <w:t>五种尺寸。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3.6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限光筒安全性：有安全软件、铅挡块锁定和机械连锁防碰装置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3.7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使用限光筒时的光野：光野始终可见，能看到灯光野和光距尺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4</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机械运动系统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4.1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机架旋转角度（顺时针和逆时针方向）≥360度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4.2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旋转角度误差：≤0.5度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4.3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TAD距离≤100±0.2cm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宋体"/>
                <w:szCs w:val="21"/>
                <w:highlight w:val="none"/>
              </w:rPr>
              <w:t>★</w:t>
            </w:r>
            <w:r>
              <w:rPr>
                <w:rFonts w:ascii="宋体" w:hAnsi="宋体" w:cs="Arial"/>
                <w:color w:val="000000"/>
                <w:kern w:val="0"/>
                <w:szCs w:val="21"/>
                <w:highlight w:val="none"/>
              </w:rPr>
              <w:t>4.4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等中心高度：≤12</w:t>
            </w:r>
            <w:r>
              <w:rPr>
                <w:rFonts w:ascii="宋体" w:hAnsi="宋体" w:cs="宋体"/>
                <w:color w:val="000000"/>
                <w:kern w:val="0"/>
                <w:szCs w:val="21"/>
                <w:highlight w:val="none"/>
              </w:rPr>
              <w:t>8</w:t>
            </w:r>
            <w:r>
              <w:rPr>
                <w:rFonts w:hint="eastAsia" w:ascii="宋体" w:hAnsi="宋体" w:cs="宋体"/>
                <w:color w:val="000000"/>
                <w:kern w:val="0"/>
                <w:szCs w:val="21"/>
                <w:highlight w:val="none"/>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4.5</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等中心到机头的净空间≥43cm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4.6</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等中心精度≤1mm半径球体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4.7</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应具有0°～ 60°范围内每度连续可调的自动楔形板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4.8</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准直器系统: 可旋转范围≥360°，精度≤0.1°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4.9</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独立准直器移动范围–12cm ～ +20cm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5</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电动多叶准直器（MLC）系统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配置内置式电动多叶准直器（MLC）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 xml:space="preserve">全部叶片在等中心处的投影宽度：≤0.5cm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叶片数量≥60对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宋体"/>
                <w:szCs w:val="21"/>
                <w:highlight w:val="none"/>
              </w:rPr>
              <w:t>★</w:t>
            </w:r>
            <w:r>
              <w:rPr>
                <w:rFonts w:ascii="宋体" w:hAnsi="宋体" w:cs="Arial"/>
                <w:color w:val="000000"/>
                <w:kern w:val="0"/>
                <w:szCs w:val="21"/>
                <w:highlight w:val="none"/>
              </w:rPr>
              <w:t>5.4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M</w:t>
            </w:r>
            <w:r>
              <w:rPr>
                <w:rFonts w:ascii="宋体" w:hAnsi="宋体" w:cs="宋体"/>
                <w:color w:val="000000"/>
                <w:kern w:val="0"/>
                <w:szCs w:val="21"/>
                <w:highlight w:val="none"/>
              </w:rPr>
              <w:t>LC</w:t>
            </w:r>
            <w:r>
              <w:rPr>
                <w:rFonts w:hint="eastAsia" w:ascii="宋体" w:hAnsi="宋体" w:cs="宋体"/>
                <w:color w:val="000000"/>
                <w:kern w:val="0"/>
                <w:szCs w:val="21"/>
                <w:highlight w:val="none"/>
              </w:rPr>
              <w:t>叶片运动速度：≥5cm/s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叶片移动精度≤1mm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宋体"/>
                <w:szCs w:val="21"/>
                <w:highlight w:val="none"/>
              </w:rPr>
              <w:t>★</w:t>
            </w:r>
            <w:r>
              <w:rPr>
                <w:rFonts w:ascii="宋体" w:hAnsi="宋体" w:cs="Arial"/>
                <w:color w:val="000000"/>
                <w:kern w:val="0"/>
                <w:szCs w:val="21"/>
                <w:highlight w:val="none"/>
              </w:rPr>
              <w:t>5.6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带MLC时最大照射野≥40cm×40cm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叶片端面半影(等中心处)，5cmx5cm – 15cm x 15cm射野：≤5.5mm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5.8</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叶片端面半影(等中心处)，15cm x15cm – 35cm x 35cm射野：≤6mm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5.9</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MLC可做插指运动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 xml:space="preserve">5.10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能实现超过20cm大野调强功能而不需要分割射野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5.11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叶片间的漏射率（在没有独立准直器参与的情况下）：≤ 1</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5.12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叶片过中心距离：≥14cm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5.13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独立准直器过中心距离：≥11cm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5.14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独立准直器运动速度：≥7cm/s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rPr>
                <w:rFonts w:ascii="宋体" w:hAnsi="宋体" w:cs="Arial"/>
                <w:color w:val="000000"/>
                <w:kern w:val="0"/>
                <w:szCs w:val="21"/>
                <w:highlight w:val="none"/>
              </w:rPr>
            </w:pPr>
            <w:r>
              <w:rPr>
                <w:rFonts w:ascii="宋体" w:hAnsi="宋体" w:cs="Arial"/>
                <w:color w:val="000000"/>
                <w:kern w:val="0"/>
                <w:szCs w:val="21"/>
                <w:highlight w:val="none"/>
              </w:rPr>
              <w:t>5.15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多叶光栅治疗头动态治疗时转动速度：≥6度/秒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6</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治疗床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治疗床运动有电机驱动方式，可调速运动。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治疗床运动有手动控制方式。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6.3</w:t>
            </w:r>
          </w:p>
        </w:tc>
        <w:tc>
          <w:tcPr>
            <w:tcW w:w="6233" w:type="dxa"/>
            <w:vAlign w:val="center"/>
          </w:tcPr>
          <w:p>
            <w:pPr>
              <w:pStyle w:val="4"/>
              <w:rPr>
                <w:rFonts w:ascii="宋体" w:hAnsi="宋体" w:cs="宋体"/>
                <w:color w:val="000000"/>
                <w:kern w:val="0"/>
                <w:szCs w:val="21"/>
                <w:highlight w:val="none"/>
              </w:rPr>
            </w:pPr>
            <w:r>
              <w:rPr>
                <w:rFonts w:hint="eastAsia" w:ascii="宋体" w:hAnsi="宋体" w:cs="宋体"/>
                <w:color w:val="000000"/>
                <w:kern w:val="0"/>
                <w:szCs w:val="21"/>
                <w:highlight w:val="none"/>
              </w:rPr>
              <w:t>负载能力</w:t>
            </w:r>
            <w:r>
              <w:rPr>
                <w:rFonts w:hint="eastAsia" w:asciiTheme="minorEastAsia" w:hAnsiTheme="minorEastAsia"/>
                <w:highlight w:val="none"/>
              </w:rPr>
              <w:t>≥</w:t>
            </w:r>
            <w:r>
              <w:rPr>
                <w:rFonts w:hint="eastAsia" w:ascii="宋体" w:hAnsi="宋体" w:cs="宋体"/>
                <w:color w:val="000000"/>
                <w:kern w:val="0"/>
                <w:szCs w:val="21"/>
                <w:highlight w:val="none"/>
              </w:rPr>
              <w:t>200公斤均匀分布、当床面升降20cm时，床面最大水平位移≤2mm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前后移动范围≥100cm，误差≤±0.2cm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左右移动范围：≥50cm，误差≤±0.2cm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垂直移动范围：移动范围≥110cm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治疗床的等中心旋转≥±95度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6.8</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等中心旋转精度：≤1度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6.9</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在负载情况下，治疗床的等中心转轴相对于加速器等中心的最大偏差≤±1mm。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6.10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治疗床面板为碳素材料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6.11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提供专用于IGRT,IMRT和VMAT治疗的治疗床面板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Borders>
              <w:bottom w:val="single" w:color="auto" w:sz="4" w:space="0"/>
            </w:tcBorders>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6.12 </w:t>
            </w:r>
          </w:p>
        </w:tc>
        <w:tc>
          <w:tcPr>
            <w:tcW w:w="6233" w:type="dxa"/>
            <w:tcBorders>
              <w:bottom w:val="single" w:color="auto" w:sz="4" w:space="0"/>
            </w:tcBorders>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在治疗床任意位置锁定后，前后、左右的可移动范围≤0.5mm，可旋转的范围≤0.5°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6.13</w:t>
            </w:r>
          </w:p>
        </w:tc>
        <w:tc>
          <w:tcPr>
            <w:tcW w:w="623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治疗床面可在6个自由度进行平移和旋转，可用于自动摆位，以及便于IGRT的自动摆位校正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6.14</w:t>
            </w:r>
          </w:p>
        </w:tc>
        <w:tc>
          <w:tcPr>
            <w:tcW w:w="623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6D床的运动范围和精度：XYZ平移：≥±3cm，精度：≤0.5mm，3轴旋转：≥±3°，精度：≤0.2°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6.15</w:t>
            </w:r>
          </w:p>
        </w:tc>
        <w:tc>
          <w:tcPr>
            <w:tcW w:w="623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6D床的控制系统与IGRT系统的自动连接：经IGRT系统识别摆位误差后，自动将床体的修正参数发送到6D床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6.16</w:t>
            </w:r>
          </w:p>
        </w:tc>
        <w:tc>
          <w:tcPr>
            <w:tcW w:w="6233"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color w:val="000000"/>
                <w:kern w:val="0"/>
                <w:szCs w:val="21"/>
                <w:highlight w:val="none"/>
              </w:rPr>
            </w:pPr>
            <w:r>
              <w:rPr>
                <w:rFonts w:hint="eastAsia"/>
                <w:highlight w:val="none"/>
              </w:rPr>
              <w:t>配备六维床的QA工具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7</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四维影像引导系统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千伏级X射线成像系统集成于加速器上，与加速器共用同一旋转机架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非晶硅平板探测器尺寸</w:t>
            </w:r>
            <w:r>
              <w:rPr>
                <w:rFonts w:hint="eastAsia" w:ascii="宋体" w:hAnsi="宋体" w:cs="宋体"/>
                <w:b/>
                <w:bCs/>
                <w:color w:val="000000"/>
                <w:kern w:val="0"/>
                <w:szCs w:val="21"/>
                <w:highlight w:val="none"/>
              </w:rPr>
              <w:t>≥</w:t>
            </w:r>
            <w:r>
              <w:rPr>
                <w:rFonts w:hint="eastAsia" w:ascii="宋体" w:hAnsi="宋体" w:cs="宋体"/>
                <w:color w:val="000000"/>
                <w:kern w:val="0"/>
                <w:szCs w:val="21"/>
                <w:highlight w:val="none"/>
              </w:rPr>
              <w:t>40cm×40cm，具备防碰撞功能。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分辨率≥1024×1024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探测器成像线性度：≥10 lp/cm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影像灰度值：≥15 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影像重建Filed-of-View：≥50cm x 26cm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图像采集孔径：≥86cm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7.8</w:t>
            </w:r>
          </w:p>
        </w:tc>
        <w:tc>
          <w:tcPr>
            <w:tcW w:w="6233" w:type="dxa"/>
            <w:vAlign w:val="center"/>
          </w:tcPr>
          <w:p>
            <w:pPr>
              <w:pStyle w:val="4"/>
              <w:rPr>
                <w:rFonts w:ascii="宋体" w:hAnsi="宋体" w:cs="宋体"/>
                <w:color w:val="000000"/>
                <w:kern w:val="0"/>
                <w:szCs w:val="21"/>
                <w:highlight w:val="none"/>
              </w:rPr>
            </w:pPr>
            <w:r>
              <w:rPr>
                <w:rFonts w:hint="eastAsia" w:ascii="宋体" w:hAnsi="宋体" w:cs="宋体"/>
                <w:color w:val="000000"/>
                <w:kern w:val="0"/>
                <w:szCs w:val="21"/>
                <w:highlight w:val="none"/>
              </w:rPr>
              <w:t>X线源为</w:t>
            </w:r>
            <w:r>
              <w:rPr>
                <w:rFonts w:hint="eastAsia" w:asciiTheme="minorEastAsia" w:hAnsiTheme="minorEastAsia"/>
                <w:highlight w:val="none"/>
              </w:rPr>
              <w:t>≥</w:t>
            </w:r>
            <w:r>
              <w:rPr>
                <w:rFonts w:hint="eastAsia" w:ascii="宋体" w:hAnsi="宋体" w:cs="宋体"/>
                <w:color w:val="000000"/>
                <w:kern w:val="0"/>
                <w:szCs w:val="21"/>
                <w:highlight w:val="none"/>
              </w:rPr>
              <w:t xml:space="preserve">40kW的X线球管，输出kVp为70～150kVp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7.9</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影像引导成像方式：支持X光拍片，透视，和容积影像（锥形束CT）模式，四维容积影像模式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7.10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使用头部模体成像时，CBCT的CTDIw剂量：≤0.5 mGy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7.11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使用体部模体成像时，CBCT的CTDIw剂量：≤20 mGy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7.12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实现定位影像采集级重建，并可在线调整治疗偏差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7</w:t>
            </w:r>
            <w:r>
              <w:rPr>
                <w:rFonts w:ascii="宋体" w:hAnsi="宋体" w:cs="Arial"/>
                <w:color w:val="000000"/>
                <w:kern w:val="0"/>
                <w:szCs w:val="21"/>
                <w:highlight w:val="none"/>
              </w:rPr>
              <w:t>.13</w:t>
            </w:r>
          </w:p>
        </w:tc>
        <w:tc>
          <w:tcPr>
            <w:tcW w:w="6233" w:type="dxa"/>
            <w:vAlign w:val="center"/>
          </w:tcPr>
          <w:p>
            <w:pPr>
              <w:widowControl/>
              <w:jc w:val="left"/>
              <w:rPr>
                <w:rFonts w:ascii="宋体" w:hAnsi="宋体" w:cs="宋体"/>
                <w:kern w:val="0"/>
                <w:szCs w:val="21"/>
                <w:highlight w:val="none"/>
              </w:rPr>
            </w:pPr>
            <w:r>
              <w:rPr>
                <w:rFonts w:ascii="宋体" w:hAnsi="宋体" w:cs="宋体"/>
                <w:kern w:val="0"/>
                <w:szCs w:val="21"/>
                <w:highlight w:val="none"/>
              </w:rPr>
              <w:t>4D</w:t>
            </w:r>
            <w:r>
              <w:rPr>
                <w:rFonts w:hint="eastAsia" w:ascii="宋体" w:hAnsi="宋体" w:cs="宋体"/>
                <w:kern w:val="0"/>
                <w:szCs w:val="21"/>
                <w:highlight w:val="none"/>
              </w:rPr>
              <w:t>容积成像系统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7.13.1</w:t>
            </w:r>
          </w:p>
        </w:tc>
        <w:tc>
          <w:tcPr>
            <w:tcW w:w="6233" w:type="dxa"/>
            <w:vAlign w:val="center"/>
          </w:tcPr>
          <w:p>
            <w:pPr>
              <w:widowControl/>
              <w:jc w:val="left"/>
              <w:rPr>
                <w:rFonts w:ascii="宋体" w:hAnsi="宋体" w:cs="宋体"/>
                <w:kern w:val="0"/>
                <w:szCs w:val="21"/>
                <w:highlight w:val="none"/>
              </w:rPr>
            </w:pPr>
            <w:r>
              <w:rPr>
                <w:rFonts w:hint="eastAsia" w:ascii="宋体" w:hAnsi="宋体" w:cs="宋体"/>
                <w:kern w:val="0"/>
                <w:szCs w:val="21"/>
                <w:highlight w:val="none"/>
              </w:rPr>
              <w:t>4D容积数据的采集和在线式重建：依序将每个投影按照时相归类；可对4D容积数据进行采集和在线式重建；在每个投影图像中观察解剖结构的运动来确定排序归类的时相，并从体内解剖结构的运动中直接计算出呼吸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7.14</w:t>
            </w:r>
          </w:p>
        </w:tc>
        <w:tc>
          <w:tcPr>
            <w:tcW w:w="6233" w:type="dxa"/>
            <w:vAlign w:val="center"/>
          </w:tcPr>
          <w:p>
            <w:pPr>
              <w:widowControl/>
              <w:jc w:val="left"/>
              <w:rPr>
                <w:rFonts w:ascii="宋体" w:hAnsi="宋体" w:cs="宋体"/>
                <w:kern w:val="0"/>
                <w:szCs w:val="21"/>
                <w:highlight w:val="none"/>
              </w:rPr>
            </w:pPr>
            <w:r>
              <w:rPr>
                <w:rFonts w:hint="eastAsia"/>
                <w:highlight w:val="none"/>
              </w:rPr>
              <w:t>支持4D容积图像（十个时相）的DICOM传出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7.15</w:t>
            </w:r>
          </w:p>
        </w:tc>
        <w:tc>
          <w:tcPr>
            <w:tcW w:w="6233" w:type="dxa"/>
            <w:vAlign w:val="center"/>
          </w:tcPr>
          <w:p>
            <w:pPr>
              <w:widowControl/>
              <w:jc w:val="left"/>
              <w:rPr>
                <w:rFonts w:ascii="宋体" w:hAnsi="宋体" w:cs="宋体"/>
                <w:kern w:val="0"/>
                <w:szCs w:val="21"/>
                <w:highlight w:val="none"/>
              </w:rPr>
            </w:pPr>
            <w:r>
              <w:rPr>
                <w:rFonts w:hint="eastAsia"/>
                <w:highlight w:val="none"/>
              </w:rPr>
              <w:t>配备kv图像的几何校准及QA模体。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8</w:t>
            </w:r>
          </w:p>
        </w:tc>
        <w:tc>
          <w:tcPr>
            <w:tcW w:w="6233" w:type="dxa"/>
            <w:vAlign w:val="center"/>
          </w:tcPr>
          <w:p>
            <w:pPr>
              <w:widowControl/>
              <w:jc w:val="left"/>
              <w:rPr>
                <w:rFonts w:ascii="宋体" w:hAnsi="宋体" w:cs="宋体"/>
                <w:b/>
                <w:bCs/>
                <w:color w:val="000000"/>
                <w:kern w:val="0"/>
                <w:szCs w:val="21"/>
                <w:highlight w:val="none"/>
              </w:rPr>
            </w:pPr>
            <w:r>
              <w:rPr>
                <w:rFonts w:hint="eastAsia" w:ascii="宋体" w:hAnsi="宋体" w:cs="宋体"/>
                <w:b/>
                <w:bCs/>
                <w:color w:val="000000"/>
                <w:kern w:val="0"/>
                <w:szCs w:val="21"/>
                <w:highlight w:val="none"/>
              </w:rPr>
              <w:t>EPID系统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硬件要求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图像采集装置：采用可远程控制收缩的非晶硅平板型系统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图像采集器面积：≥41cm×41cm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图像采集频率：≥10幅 / 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分辨率≥1024</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X</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影像灰度值：≥15 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等中心处像素空间分辨率：≤0.25mm×0.25mm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8.1.</w:t>
            </w:r>
            <w:r>
              <w:rPr>
                <w:rFonts w:hint="eastAsia" w:ascii="宋体" w:hAnsi="宋体" w:cs="Arial"/>
                <w:color w:val="000000"/>
                <w:kern w:val="0"/>
                <w:szCs w:val="21"/>
                <w:highlight w:val="none"/>
              </w:rPr>
              <w:t>7</w:t>
            </w:r>
          </w:p>
        </w:tc>
        <w:tc>
          <w:tcPr>
            <w:tcW w:w="6233" w:type="dxa"/>
            <w:vAlign w:val="center"/>
          </w:tcPr>
          <w:p>
            <w:pPr>
              <w:widowControl/>
              <w:jc w:val="left"/>
              <w:rPr>
                <w:rFonts w:ascii="宋体" w:hAnsi="宋体" w:cs="宋体"/>
                <w:color w:val="FF0000"/>
                <w:kern w:val="0"/>
                <w:szCs w:val="21"/>
                <w:highlight w:val="none"/>
              </w:rPr>
            </w:pPr>
            <w:r>
              <w:rPr>
                <w:rFonts w:hint="eastAsia" w:ascii="宋体" w:hAnsi="宋体" w:cs="宋体"/>
                <w:color w:val="000000"/>
                <w:kern w:val="0"/>
                <w:szCs w:val="21"/>
                <w:highlight w:val="none"/>
              </w:rPr>
              <w:t xml:space="preserve">具有防碰撞安全连锁功能 </w:t>
            </w:r>
            <w:r>
              <w:rPr>
                <w:rFonts w:ascii="宋体" w:hAnsi="宋体" w:cs="宋体"/>
                <w:color w:val="000000"/>
                <w:kern w:val="0"/>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软件要求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8.2.1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多种图像显示能力：可在实时影像系统的用户界面上同时察看实时成像和对比参考图像（模拟定位图像，或DRR图像），以及其他图像；即使在采集图像时，也能显示参考图像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8.2.2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MLC显示：可在图像上覆盖显示多叶准直器的照射野形状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8.2.3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自动定位匹配功能：可对参考图像和实时成像进行照射野边界和解剖结构的定位匹配的检测，并可进行位移的测量，从而确定照射野的摆位误差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p>
        </w:tc>
        <w:tc>
          <w:tcPr>
            <w:tcW w:w="6233" w:type="dxa"/>
            <w:vAlign w:val="center"/>
          </w:tcPr>
          <w:p>
            <w:pPr>
              <w:widowControl/>
              <w:jc w:val="left"/>
              <w:rPr>
                <w:rFonts w:ascii="宋体" w:hAnsi="宋体" w:cs="宋体"/>
                <w:color w:val="000000"/>
                <w:kern w:val="0"/>
                <w:szCs w:val="21"/>
                <w:highlight w:val="none"/>
              </w:rPr>
            </w:pPr>
            <w:r>
              <w:rPr>
                <w:rFonts w:hint="eastAsia"/>
                <w:highlight w:val="none"/>
              </w:rPr>
              <w:t>配备二维图像的QA模体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8.2.4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具有DICOM-3，DICOM-RT网络功能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000000"/>
                <w:kern w:val="0"/>
                <w:szCs w:val="21"/>
                <w:highlight w:val="none"/>
              </w:rPr>
            </w:pPr>
            <w:r>
              <w:rPr>
                <w:rFonts w:ascii="宋体" w:hAnsi="宋体" w:cs="Arial"/>
                <w:b/>
                <w:bCs/>
                <w:color w:val="000000"/>
                <w:kern w:val="0"/>
                <w:szCs w:val="21"/>
                <w:highlight w:val="none"/>
              </w:rPr>
              <w:t>9</w:t>
            </w:r>
          </w:p>
        </w:tc>
        <w:tc>
          <w:tcPr>
            <w:tcW w:w="6233" w:type="dxa"/>
            <w:vAlign w:val="center"/>
          </w:tcPr>
          <w:p>
            <w:pPr>
              <w:widowControl/>
              <w:rPr>
                <w:rFonts w:ascii="宋体" w:hAnsi="宋体" w:cs="宋体"/>
                <w:b/>
                <w:bCs/>
                <w:color w:val="000000"/>
                <w:kern w:val="0"/>
                <w:szCs w:val="21"/>
                <w:highlight w:val="none"/>
              </w:rPr>
            </w:pPr>
            <w:r>
              <w:rPr>
                <w:rFonts w:hint="eastAsia" w:ascii="宋体" w:hAnsi="宋体" w:cs="宋体"/>
                <w:b/>
                <w:bCs/>
                <w:color w:val="000000"/>
                <w:kern w:val="0"/>
                <w:szCs w:val="21"/>
                <w:highlight w:val="none"/>
              </w:rPr>
              <w:t>容积旋转调强功能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9.1</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能够大幅减少常规IMRT治疗时的MU消耗、减少对病人的辐射泄露、同时大幅缩短治疗时间。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9.2</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可以对下列因素进行同步控制：机架旋转运动、MLC叶片移动、准直器机头旋转运动、剂量率变化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9.3</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容积旋转调强治疗时，最大调强照射野：≥40cm×40cm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9.4</w:t>
            </w:r>
          </w:p>
        </w:tc>
        <w:tc>
          <w:tcPr>
            <w:tcW w:w="6233" w:type="dxa"/>
            <w:vAlign w:val="center"/>
          </w:tcPr>
          <w:p>
            <w:pPr>
              <w:widowControl/>
              <w:rPr>
                <w:rFonts w:ascii="宋体" w:hAnsi="宋体" w:cs="宋体"/>
                <w:color w:val="000000"/>
                <w:kern w:val="0"/>
                <w:szCs w:val="21"/>
                <w:highlight w:val="none"/>
              </w:rPr>
            </w:pPr>
            <w:r>
              <w:rPr>
                <w:rFonts w:hint="eastAsia" w:ascii="宋体" w:hAnsi="宋体" w:cs="宋体"/>
                <w:color w:val="000000"/>
                <w:kern w:val="0"/>
                <w:szCs w:val="21"/>
                <w:highlight w:val="none"/>
              </w:rPr>
              <w:t>容积旋转调强治疗模式：能执行单个弧度容积旋转调强的治疗、单轴多弧度容积旋转调强的治疗、非共平面容积旋转调强的治疗。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9.5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应具有双向弧形容积旋转治疗功能（≥±360度）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9.6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在使用兼容的记录验证系统时,自动设置所有机械参数和射野参数。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color w:val="000000"/>
                <w:kern w:val="0"/>
                <w:szCs w:val="21"/>
                <w:highlight w:val="none"/>
              </w:rPr>
            </w:pPr>
            <w:r>
              <w:rPr>
                <w:rFonts w:ascii="宋体" w:hAnsi="宋体" w:cs="Arial"/>
                <w:b/>
                <w:color w:val="000000"/>
                <w:kern w:val="0"/>
                <w:szCs w:val="21"/>
                <w:highlight w:val="none"/>
              </w:rPr>
              <w:t>10</w:t>
            </w:r>
          </w:p>
        </w:tc>
        <w:tc>
          <w:tcPr>
            <w:tcW w:w="6233" w:type="dxa"/>
            <w:vAlign w:val="center"/>
          </w:tcPr>
          <w:p>
            <w:pPr>
              <w:widowControl/>
              <w:jc w:val="left"/>
              <w:rPr>
                <w:rFonts w:ascii="宋体" w:hAnsi="宋体" w:cs="宋体"/>
                <w:b/>
                <w:color w:val="000000"/>
                <w:kern w:val="0"/>
                <w:szCs w:val="21"/>
                <w:highlight w:val="none"/>
              </w:rPr>
            </w:pPr>
            <w:r>
              <w:rPr>
                <w:rFonts w:hint="eastAsia" w:ascii="宋体" w:hAnsi="宋体" w:cs="宋体"/>
                <w:b/>
                <w:color w:val="000000"/>
                <w:kern w:val="0"/>
                <w:szCs w:val="21"/>
                <w:highlight w:val="none"/>
              </w:rPr>
              <w:t>放射治疗计划系统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本系统用于设计制定三维适形以及调强放射治疗计划。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本系统的计算模型要求提供基于业界金标准的蒙特卡罗算法；并具有基于放射生物原理的计划优化引擎。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软、硬件配置要求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提供物理师剂量计算软件，能够支持</w:t>
            </w:r>
            <w:r>
              <w:rPr>
                <w:rFonts w:ascii="宋体" w:hAnsi="宋体" w:cs="宋体"/>
                <w:color w:val="000000"/>
                <w:kern w:val="0"/>
                <w:szCs w:val="21"/>
                <w:highlight w:val="none"/>
              </w:rPr>
              <w:t>3D/IMRT/VMAT</w:t>
            </w:r>
            <w:r>
              <w:rPr>
                <w:rFonts w:hint="eastAsia" w:ascii="宋体" w:hAnsi="宋体" w:cs="宋体"/>
                <w:color w:val="000000"/>
                <w:kern w:val="0"/>
                <w:szCs w:val="21"/>
                <w:highlight w:val="none"/>
              </w:rPr>
              <w:t>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提供医生工作站软件用于靶区勾画和计划评估；该医生工作站应能独立离线工作，并不占用主机工作资源。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10.3.3</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TPS</w:t>
            </w:r>
            <w:r>
              <w:rPr>
                <w:rFonts w:hint="eastAsia" w:ascii="宋体" w:hAnsi="宋体" w:cs="宋体"/>
                <w:color w:val="000000"/>
                <w:kern w:val="0"/>
                <w:szCs w:val="21"/>
                <w:highlight w:val="none"/>
              </w:rPr>
              <w:t>硬件要求配置该产品目前最新的硬件型号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TPS</w:t>
            </w:r>
            <w:r>
              <w:rPr>
                <w:rFonts w:hint="eastAsia" w:ascii="宋体" w:hAnsi="宋体" w:cs="宋体"/>
                <w:color w:val="000000"/>
                <w:kern w:val="0"/>
                <w:szCs w:val="21"/>
                <w:highlight w:val="none"/>
              </w:rPr>
              <w:t>服务器</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高性能</w:t>
            </w:r>
            <w:r>
              <w:rPr>
                <w:rFonts w:ascii="宋体" w:hAnsi="宋体" w:cs="宋体"/>
                <w:color w:val="000000"/>
                <w:kern w:val="0"/>
                <w:szCs w:val="21"/>
                <w:highlight w:val="none"/>
              </w:rPr>
              <w:t>X86</w:t>
            </w:r>
            <w:r>
              <w:rPr>
                <w:rFonts w:hint="eastAsia" w:ascii="宋体" w:hAnsi="宋体" w:cs="宋体"/>
                <w:color w:val="000000"/>
                <w:kern w:val="0"/>
                <w:szCs w:val="21"/>
                <w:highlight w:val="none"/>
              </w:rPr>
              <w:t>架构服务器。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操作系统：</w:t>
            </w:r>
            <w:r>
              <w:rPr>
                <w:rFonts w:ascii="宋体" w:hAnsi="宋体" w:cs="宋体"/>
                <w:color w:val="000000"/>
                <w:kern w:val="0"/>
                <w:szCs w:val="21"/>
                <w:highlight w:val="none"/>
              </w:rPr>
              <w:t xml:space="preserve"> Windows Server 2008 64</w:t>
            </w:r>
            <w:r>
              <w:rPr>
                <w:rFonts w:hint="eastAsia" w:ascii="宋体" w:hAnsi="宋体" w:cs="宋体"/>
                <w:color w:val="000000"/>
                <w:kern w:val="0"/>
                <w:szCs w:val="21"/>
                <w:highlight w:val="none"/>
              </w:rPr>
              <w:t>位操作系统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服务器内存：≥</w:t>
            </w:r>
            <w:r>
              <w:rPr>
                <w:rFonts w:ascii="宋体" w:hAnsi="宋体" w:cs="宋体"/>
                <w:color w:val="000000"/>
                <w:kern w:val="0"/>
                <w:szCs w:val="21"/>
                <w:highlight w:val="none"/>
              </w:rPr>
              <w:t>128GB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硬盘容量：≥</w:t>
            </w:r>
            <w:r>
              <w:rPr>
                <w:rFonts w:ascii="宋体" w:hAnsi="宋体" w:cs="宋体"/>
                <w:color w:val="000000"/>
                <w:kern w:val="0"/>
                <w:szCs w:val="21"/>
                <w:highlight w:val="none"/>
              </w:rPr>
              <w:t>600GB SAS/SATA</w:t>
            </w:r>
            <w:r>
              <w:rPr>
                <w:rFonts w:hint="eastAsia" w:ascii="宋体" w:hAnsi="宋体" w:cs="宋体"/>
                <w:color w:val="000000"/>
                <w:kern w:val="0"/>
                <w:szCs w:val="21"/>
                <w:highlight w:val="none"/>
              </w:rPr>
              <w:t>驱动器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硬盘数量：≥</w:t>
            </w:r>
            <w:r>
              <w:rPr>
                <w:rFonts w:ascii="宋体" w:hAnsi="宋体" w:cs="宋体"/>
                <w:color w:val="000000"/>
                <w:kern w:val="0"/>
                <w:szCs w:val="21"/>
                <w:highlight w:val="none"/>
              </w:rPr>
              <w:t>2</w:t>
            </w:r>
            <w:r>
              <w:rPr>
                <w:rFonts w:hint="eastAsia" w:ascii="宋体" w:hAnsi="宋体" w:cs="宋体"/>
                <w:color w:val="000000"/>
                <w:kern w:val="0"/>
                <w:szCs w:val="21"/>
                <w:highlight w:val="none"/>
              </w:rPr>
              <w:t>块</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w:t>
            </w:r>
            <w:r>
              <w:rPr>
                <w:rFonts w:ascii="宋体" w:hAnsi="宋体" w:cs="宋体"/>
                <w:color w:val="000000"/>
                <w:kern w:val="0"/>
                <w:szCs w:val="21"/>
                <w:highlight w:val="none"/>
              </w:rPr>
              <w:t>RAID1</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中央处理器：双路英特尔至强</w:t>
            </w:r>
            <w:r>
              <w:rPr>
                <w:rFonts w:ascii="宋体" w:hAnsi="宋体" w:cs="宋体"/>
                <w:color w:val="000000"/>
                <w:kern w:val="0"/>
                <w:szCs w:val="21"/>
                <w:highlight w:val="none"/>
              </w:rPr>
              <w:t xml:space="preserve">CPU, </w:t>
            </w:r>
            <w:r>
              <w:rPr>
                <w:rFonts w:hint="eastAsia" w:ascii="宋体" w:hAnsi="宋体" w:cs="宋体"/>
                <w:color w:val="000000"/>
                <w:kern w:val="0"/>
                <w:szCs w:val="21"/>
                <w:highlight w:val="none"/>
              </w:rPr>
              <w:t>每路</w:t>
            </w:r>
            <w:r>
              <w:rPr>
                <w:rFonts w:ascii="宋体" w:hAnsi="宋体" w:cs="宋体"/>
                <w:color w:val="000000"/>
                <w:kern w:val="0"/>
                <w:szCs w:val="21"/>
                <w:highlight w:val="none"/>
              </w:rPr>
              <w:t>CPU</w:t>
            </w:r>
            <w:r>
              <w:rPr>
                <w:rFonts w:hint="eastAsia" w:ascii="宋体" w:hAnsi="宋体" w:cs="宋体"/>
                <w:color w:val="000000"/>
                <w:kern w:val="0"/>
                <w:szCs w:val="21"/>
                <w:highlight w:val="none"/>
              </w:rPr>
              <w:t>内核数≥</w:t>
            </w:r>
            <w:r>
              <w:rPr>
                <w:rFonts w:ascii="宋体" w:hAnsi="宋体" w:cs="宋体"/>
                <w:color w:val="000000"/>
                <w:kern w:val="0"/>
                <w:szCs w:val="21"/>
                <w:highlight w:val="none"/>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网络适配器：</w:t>
            </w:r>
            <w:r>
              <w:rPr>
                <w:rFonts w:ascii="宋体" w:hAnsi="宋体" w:cs="宋体"/>
                <w:color w:val="000000"/>
                <w:kern w:val="0"/>
                <w:szCs w:val="21"/>
                <w:highlight w:val="none"/>
              </w:rPr>
              <w:t xml:space="preserve">100M/1000M </w:t>
            </w:r>
            <w:r>
              <w:rPr>
                <w:rFonts w:hint="eastAsia" w:ascii="宋体" w:hAnsi="宋体" w:cs="宋体"/>
                <w:color w:val="000000"/>
                <w:kern w:val="0"/>
                <w:szCs w:val="21"/>
                <w:highlight w:val="none"/>
              </w:rPr>
              <w:t>自适应以太网网络适配器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10.3.4.7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图像显示适配器：</w:t>
            </w:r>
            <w:r>
              <w:rPr>
                <w:rFonts w:ascii="宋体" w:hAnsi="宋体" w:cs="宋体"/>
                <w:color w:val="000000"/>
                <w:kern w:val="0"/>
                <w:szCs w:val="21"/>
                <w:highlight w:val="none"/>
              </w:rPr>
              <w:t>PCI-e</w:t>
            </w:r>
            <w:r>
              <w:rPr>
                <w:rFonts w:hint="eastAsia" w:ascii="宋体" w:hAnsi="宋体" w:cs="宋体"/>
                <w:color w:val="000000"/>
                <w:kern w:val="0"/>
                <w:szCs w:val="21"/>
                <w:highlight w:val="none"/>
              </w:rPr>
              <w:t>图形界面卡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网络拓扑结构</w:t>
            </w:r>
            <w:r>
              <w:rPr>
                <w:rFonts w:ascii="宋体" w:hAnsi="宋体" w:cs="宋体"/>
                <w:color w:val="000000"/>
                <w:kern w:val="0"/>
                <w:szCs w:val="21"/>
                <w:highlight w:val="none"/>
              </w:rPr>
              <w:t>:</w:t>
            </w:r>
            <w:r>
              <w:rPr>
                <w:rFonts w:hint="eastAsia" w:ascii="宋体" w:hAnsi="宋体" w:cs="宋体"/>
                <w:color w:val="000000"/>
                <w:kern w:val="0"/>
                <w:szCs w:val="21"/>
                <w:highlight w:val="none"/>
              </w:rPr>
              <w:t>以太网结构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网络数据传输速度</w:t>
            </w:r>
            <w:r>
              <w:rPr>
                <w:rFonts w:ascii="宋体" w:hAnsi="宋体" w:cs="宋体"/>
                <w:color w:val="000000"/>
                <w:kern w:val="0"/>
                <w:szCs w:val="21"/>
                <w:highlight w:val="none"/>
              </w:rPr>
              <w:t>:1000Mbps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网络物理连线材料</w:t>
            </w:r>
            <w:r>
              <w:rPr>
                <w:rFonts w:ascii="宋体" w:hAnsi="宋体" w:cs="宋体"/>
                <w:color w:val="000000"/>
                <w:kern w:val="0"/>
                <w:szCs w:val="21"/>
                <w:highlight w:val="none"/>
              </w:rPr>
              <w:t>:</w:t>
            </w:r>
            <w:r>
              <w:rPr>
                <w:rFonts w:hint="eastAsia" w:ascii="宋体" w:hAnsi="宋体" w:cs="宋体"/>
                <w:color w:val="000000"/>
                <w:kern w:val="0"/>
                <w:szCs w:val="21"/>
                <w:highlight w:val="none"/>
              </w:rPr>
              <w:t>带屏蔽五类双绞线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网络协议</w:t>
            </w:r>
            <w:r>
              <w:rPr>
                <w:rFonts w:ascii="宋体" w:hAnsi="宋体" w:cs="宋体"/>
                <w:color w:val="000000"/>
                <w:kern w:val="0"/>
                <w:szCs w:val="21"/>
                <w:highlight w:val="none"/>
              </w:rPr>
              <w:t>:TCP/IP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系统应能将上述数据以数字化方式存储，并能与其他计算机系统通过网络进行相关的数据传输。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系统能进行</w:t>
            </w:r>
            <w:r>
              <w:rPr>
                <w:rFonts w:ascii="宋体" w:hAnsi="宋体" w:cs="宋体"/>
                <w:color w:val="000000"/>
                <w:kern w:val="0"/>
                <w:szCs w:val="21"/>
                <w:highlight w:val="none"/>
              </w:rPr>
              <w:t>CT</w:t>
            </w:r>
            <w:r>
              <w:rPr>
                <w:rFonts w:hint="eastAsia" w:ascii="宋体" w:hAnsi="宋体" w:cs="宋体"/>
                <w:color w:val="000000"/>
                <w:kern w:val="0"/>
                <w:szCs w:val="21"/>
                <w:highlight w:val="none"/>
              </w:rPr>
              <w:t>模拟、全自动影像融合与配准、头颈部及体部肿瘤高精度放射治疗，能够进行逆向调强治疗计划设计。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系统应完全遵从</w:t>
            </w:r>
            <w:r>
              <w:rPr>
                <w:rFonts w:ascii="宋体" w:hAnsi="宋体" w:cs="宋体"/>
                <w:color w:val="000000"/>
                <w:kern w:val="0"/>
                <w:szCs w:val="21"/>
                <w:highlight w:val="none"/>
              </w:rPr>
              <w:t>DICOM</w:t>
            </w:r>
            <w:r>
              <w:rPr>
                <w:rFonts w:hint="eastAsia" w:ascii="宋体" w:hAnsi="宋体" w:cs="宋体"/>
                <w:color w:val="000000"/>
                <w:kern w:val="0"/>
                <w:szCs w:val="21"/>
                <w:highlight w:val="none"/>
              </w:rPr>
              <w:t>标准，以实现医学影像共享。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10.4.7.1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系统能与支持</w:t>
            </w:r>
            <w:r>
              <w:rPr>
                <w:rFonts w:ascii="宋体" w:hAnsi="宋体" w:cs="宋体"/>
                <w:color w:val="000000"/>
                <w:kern w:val="0"/>
                <w:szCs w:val="21"/>
                <w:highlight w:val="none"/>
              </w:rPr>
              <w:t>DICOM3.0</w:t>
            </w:r>
            <w:r>
              <w:rPr>
                <w:rFonts w:hint="eastAsia" w:ascii="宋体" w:hAnsi="宋体" w:cs="宋体"/>
                <w:color w:val="000000"/>
                <w:kern w:val="0"/>
                <w:szCs w:val="21"/>
                <w:highlight w:val="none"/>
              </w:rPr>
              <w:t>的</w:t>
            </w:r>
            <w:r>
              <w:rPr>
                <w:rFonts w:ascii="宋体" w:hAnsi="宋体" w:cs="宋体"/>
                <w:color w:val="000000"/>
                <w:kern w:val="0"/>
                <w:szCs w:val="21"/>
                <w:highlight w:val="none"/>
              </w:rPr>
              <w:t>CT</w:t>
            </w:r>
            <w:r>
              <w:rPr>
                <w:rFonts w:hint="eastAsia" w:ascii="宋体" w:hAnsi="宋体" w:cs="宋体"/>
                <w:color w:val="000000"/>
                <w:kern w:val="0"/>
                <w:szCs w:val="21"/>
                <w:highlight w:val="none"/>
              </w:rPr>
              <w:t>、</w:t>
            </w:r>
            <w:r>
              <w:rPr>
                <w:rFonts w:ascii="宋体" w:hAnsi="宋体" w:cs="宋体"/>
                <w:color w:val="000000"/>
                <w:kern w:val="0"/>
                <w:szCs w:val="21"/>
                <w:highlight w:val="none"/>
              </w:rPr>
              <w:t>MR</w:t>
            </w:r>
            <w:r>
              <w:rPr>
                <w:rFonts w:hint="eastAsia" w:ascii="宋体" w:hAnsi="宋体" w:cs="宋体"/>
                <w:color w:val="000000"/>
                <w:kern w:val="0"/>
                <w:szCs w:val="21"/>
                <w:highlight w:val="none"/>
              </w:rPr>
              <w:t>、</w:t>
            </w:r>
            <w:r>
              <w:rPr>
                <w:rFonts w:ascii="宋体" w:hAnsi="宋体" w:cs="宋体"/>
                <w:color w:val="000000"/>
                <w:kern w:val="0"/>
                <w:szCs w:val="21"/>
                <w:highlight w:val="none"/>
              </w:rPr>
              <w:t>PET</w:t>
            </w:r>
            <w:r>
              <w:rPr>
                <w:rFonts w:hint="eastAsia" w:ascii="宋体" w:hAnsi="宋体" w:cs="宋体"/>
                <w:color w:val="000000"/>
                <w:kern w:val="0"/>
                <w:szCs w:val="21"/>
                <w:highlight w:val="none"/>
              </w:rPr>
              <w:t>等影像设备连接，并导出</w:t>
            </w:r>
            <w:r>
              <w:rPr>
                <w:rFonts w:ascii="宋体" w:hAnsi="宋体" w:cs="宋体"/>
                <w:color w:val="000000"/>
                <w:kern w:val="0"/>
                <w:szCs w:val="21"/>
                <w:highlight w:val="none"/>
              </w:rPr>
              <w:t>DICOM</w:t>
            </w:r>
            <w:r>
              <w:rPr>
                <w:rFonts w:hint="eastAsia" w:ascii="宋体" w:hAnsi="宋体" w:cs="宋体"/>
                <w:color w:val="000000"/>
                <w:kern w:val="0"/>
                <w:szCs w:val="21"/>
                <w:highlight w:val="none"/>
              </w:rPr>
              <w:t>影像。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计划系统软件要求：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中标人负责对本次新购置直线加速器的特殊蒙卡算法的线束数据采集、拟合和输入。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轮廓勾画功能如下：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具备边缘自动探测和重要器官自动规避的功能；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提供智能三维自动勾画软件功能；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逐层上、下复制和内插功能；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快速创建和外放结构，多结构相加或相减；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支持</w:t>
            </w:r>
            <w:r>
              <w:rPr>
                <w:rFonts w:ascii="宋体" w:hAnsi="宋体" w:cs="宋体"/>
                <w:color w:val="000000"/>
                <w:kern w:val="0"/>
                <w:szCs w:val="21"/>
                <w:highlight w:val="none"/>
              </w:rPr>
              <w:t>PET SUV</w:t>
            </w:r>
            <w:r>
              <w:rPr>
                <w:rFonts w:hint="eastAsia" w:ascii="宋体" w:hAnsi="宋体" w:cs="宋体"/>
                <w:color w:val="000000"/>
                <w:kern w:val="0"/>
                <w:szCs w:val="21"/>
                <w:highlight w:val="none"/>
              </w:rPr>
              <w:t>的轮廓自动勾画；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提供四维勾画功能：采用四维影像图集来创建轮廓；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10.5.2.7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可将两个以上或</w:t>
            </w:r>
            <w:r>
              <w:rPr>
                <w:rFonts w:ascii="宋体" w:hAnsi="宋体" w:cs="宋体"/>
                <w:color w:val="000000"/>
                <w:kern w:val="0"/>
                <w:szCs w:val="21"/>
                <w:highlight w:val="none"/>
              </w:rPr>
              <w:t>4D</w:t>
            </w:r>
            <w:r>
              <w:rPr>
                <w:rFonts w:hint="eastAsia" w:ascii="宋体" w:hAnsi="宋体" w:cs="宋体"/>
                <w:color w:val="000000"/>
                <w:kern w:val="0"/>
                <w:szCs w:val="21"/>
                <w:highlight w:val="none"/>
              </w:rPr>
              <w:t>图像序列合并生成特殊影像（最大密度投影</w:t>
            </w:r>
            <w:r>
              <w:rPr>
                <w:rFonts w:ascii="宋体" w:hAnsi="宋体" w:cs="宋体"/>
                <w:color w:val="000000"/>
                <w:kern w:val="0"/>
                <w:szCs w:val="21"/>
                <w:highlight w:val="none"/>
              </w:rPr>
              <w:t>MIP</w:t>
            </w:r>
            <w:r>
              <w:rPr>
                <w:rFonts w:hint="eastAsia" w:ascii="宋体" w:hAnsi="宋体" w:cs="宋体"/>
                <w:color w:val="000000"/>
                <w:kern w:val="0"/>
                <w:szCs w:val="21"/>
                <w:highlight w:val="none"/>
              </w:rPr>
              <w:t>，</w:t>
            </w:r>
            <w:r>
              <w:rPr>
                <w:rFonts w:ascii="宋体" w:hAnsi="宋体" w:cs="宋体"/>
                <w:color w:val="000000"/>
                <w:kern w:val="0"/>
                <w:szCs w:val="21"/>
                <w:highlight w:val="none"/>
              </w:rPr>
              <w:t xml:space="preserve"> </w:t>
            </w:r>
            <w:r>
              <w:rPr>
                <w:rFonts w:hint="eastAsia" w:ascii="宋体" w:hAnsi="宋体" w:cs="宋体"/>
                <w:color w:val="000000"/>
                <w:kern w:val="0"/>
                <w:szCs w:val="21"/>
                <w:highlight w:val="none"/>
              </w:rPr>
              <w:t>最小密度投影</w:t>
            </w:r>
            <w:r>
              <w:rPr>
                <w:rFonts w:ascii="宋体" w:hAnsi="宋体" w:cs="宋体"/>
                <w:color w:val="000000"/>
                <w:kern w:val="0"/>
                <w:szCs w:val="21"/>
                <w:highlight w:val="none"/>
              </w:rPr>
              <w:t>MinIP</w:t>
            </w:r>
            <w:r>
              <w:rPr>
                <w:rFonts w:hint="eastAsia" w:ascii="宋体" w:hAnsi="宋体" w:cs="宋体"/>
                <w:color w:val="000000"/>
                <w:kern w:val="0"/>
                <w:szCs w:val="21"/>
                <w:highlight w:val="none"/>
              </w:rPr>
              <w:t>，或平均密度投影</w:t>
            </w:r>
            <w:r>
              <w:rPr>
                <w:rFonts w:ascii="宋体" w:hAnsi="宋体" w:cs="宋体"/>
                <w:color w:val="000000"/>
                <w:kern w:val="0"/>
                <w:szCs w:val="21"/>
                <w:highlight w:val="none"/>
              </w:rPr>
              <w:t xml:space="preserve"> Average</w:t>
            </w:r>
            <w:r>
              <w:rPr>
                <w:rFonts w:hint="eastAsia" w:ascii="宋体" w:hAnsi="宋体" w:cs="宋体"/>
                <w:color w:val="000000"/>
                <w:kern w:val="0"/>
                <w:szCs w:val="21"/>
                <w:highlight w:val="none"/>
              </w:rPr>
              <w:t>），这些特殊影像可快速定义受呼吸运动影响的靶区体积；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适形计划：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10.5.3.1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自动或手动设置形状；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10.5.3.2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在影像上编辑挡块、射野形状和</w:t>
            </w:r>
            <w:r>
              <w:rPr>
                <w:rFonts w:ascii="宋体" w:hAnsi="宋体" w:cs="宋体"/>
                <w:color w:val="000000"/>
                <w:kern w:val="0"/>
                <w:szCs w:val="21"/>
                <w:highlight w:val="none"/>
              </w:rPr>
              <w:t>MLC</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10.5.3.3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可以在</w:t>
            </w:r>
            <w:r>
              <w:rPr>
                <w:rFonts w:ascii="宋体" w:hAnsi="宋体" w:cs="宋体"/>
                <w:color w:val="000000"/>
                <w:kern w:val="0"/>
                <w:szCs w:val="21"/>
                <w:highlight w:val="none"/>
              </w:rPr>
              <w:t>BEV</w:t>
            </w:r>
            <w:r>
              <w:rPr>
                <w:rFonts w:hint="eastAsia" w:ascii="宋体" w:hAnsi="宋体" w:cs="宋体"/>
                <w:color w:val="000000"/>
                <w:kern w:val="0"/>
                <w:szCs w:val="21"/>
                <w:highlight w:val="none"/>
              </w:rPr>
              <w:t>图像上，对</w:t>
            </w:r>
            <w:r>
              <w:rPr>
                <w:rFonts w:ascii="宋体" w:hAnsi="宋体" w:cs="宋体"/>
                <w:color w:val="000000"/>
                <w:kern w:val="0"/>
                <w:szCs w:val="21"/>
                <w:highlight w:val="none"/>
              </w:rPr>
              <w:t>MLC</w:t>
            </w:r>
            <w:r>
              <w:rPr>
                <w:rFonts w:hint="eastAsia" w:ascii="宋体" w:hAnsi="宋体" w:cs="宋体"/>
                <w:color w:val="000000"/>
                <w:kern w:val="0"/>
                <w:szCs w:val="21"/>
                <w:highlight w:val="none"/>
              </w:rPr>
              <w:t>的位置或挡铅形状、大小进行编辑；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该软件系统的</w:t>
            </w:r>
            <w:r>
              <w:rPr>
                <w:rFonts w:ascii="宋体" w:hAnsi="宋体" w:cs="宋体"/>
                <w:color w:val="000000"/>
                <w:kern w:val="0"/>
                <w:szCs w:val="21"/>
                <w:highlight w:val="none"/>
              </w:rPr>
              <w:t>IMRT</w:t>
            </w:r>
            <w:r>
              <w:rPr>
                <w:rFonts w:hint="eastAsia" w:ascii="宋体" w:hAnsi="宋体" w:cs="宋体"/>
                <w:color w:val="000000"/>
                <w:kern w:val="0"/>
                <w:szCs w:val="21"/>
                <w:highlight w:val="none"/>
              </w:rPr>
              <w:t>计划功能要求如下：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多种函数模式：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10.5.4.1.1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生物剂量函数模式；生物函数可用于肿瘤和串行以及并行危机器官；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10.5.4.1.2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物理剂量函数模式；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10.5.4.1.3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高</w:t>
            </w:r>
            <w:r>
              <w:rPr>
                <w:rFonts w:ascii="宋体" w:hAnsi="宋体" w:cs="宋体"/>
                <w:color w:val="000000"/>
                <w:kern w:val="0"/>
                <w:szCs w:val="21"/>
                <w:highlight w:val="none"/>
              </w:rPr>
              <w:t>/</w:t>
            </w:r>
            <w:r>
              <w:rPr>
                <w:rFonts w:hint="eastAsia" w:ascii="宋体" w:hAnsi="宋体" w:cs="宋体"/>
                <w:color w:val="000000"/>
                <w:kern w:val="0"/>
                <w:szCs w:val="21"/>
                <w:highlight w:val="none"/>
              </w:rPr>
              <w:t>低剂量的百分体积约束；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10.5.4.1.4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基于剂量体积的约束，可用于肿瘤和正常组织优化；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优化方式：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可以自动定义优化函数作用的区域，从而无需勾画辅助器官即可优化没有勾画的区域的剂量；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可定义剂量过渡区；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可将优化函数作用区域用图形显示出来；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当优化靶区时，用约束性优化工具来保证所有危机器官达到目标；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多标准优化：在优化过程中通过严格遵守优化的约束条件来，当满足第一目标后自动寻找下一个更严格的目标，以更好地满足正常器官；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高灵敏度分析工具：能优化出各个器官之间的剂量影响关系从而快速的完成计划制作；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子野形状优化（</w:t>
            </w:r>
            <w:r>
              <w:rPr>
                <w:rFonts w:ascii="宋体" w:hAnsi="宋体" w:cs="宋体"/>
                <w:color w:val="000000"/>
                <w:kern w:val="0"/>
                <w:szCs w:val="21"/>
                <w:highlight w:val="none"/>
              </w:rPr>
              <w:t>SSO</w:t>
            </w:r>
            <w:r>
              <w:rPr>
                <w:rFonts w:hint="eastAsia" w:ascii="宋体" w:hAnsi="宋体" w:cs="宋体"/>
                <w:color w:val="000000"/>
                <w:kern w:val="0"/>
                <w:szCs w:val="21"/>
                <w:highlight w:val="none"/>
              </w:rPr>
              <w:t>）能够改善计划的质量和子野执行效率；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10.5.4.2.8</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具有</w:t>
            </w:r>
            <w:r>
              <w:rPr>
                <w:rFonts w:ascii="宋体" w:hAnsi="宋体" w:cs="宋体"/>
                <w:color w:val="000000"/>
                <w:kern w:val="0"/>
                <w:szCs w:val="21"/>
                <w:highlight w:val="none"/>
              </w:rPr>
              <w:t>autoflash margin</w:t>
            </w:r>
            <w:r>
              <w:rPr>
                <w:rFonts w:hint="eastAsia" w:ascii="宋体" w:hAnsi="宋体" w:cs="宋体"/>
                <w:color w:val="000000"/>
                <w:kern w:val="0"/>
                <w:szCs w:val="21"/>
                <w:highlight w:val="none"/>
              </w:rPr>
              <w:t>功能，能够智能考虑表浅移动靶区的剂量分布；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10.5.5</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计算方式：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10.5.5.1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能提供三种不同的光子线剂量算法；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10.5.5.2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提供光子线蒙卡</w:t>
            </w:r>
            <w:r>
              <w:rPr>
                <w:rFonts w:ascii="宋体" w:hAnsi="宋体" w:cs="宋体"/>
                <w:color w:val="000000"/>
                <w:kern w:val="0"/>
                <w:szCs w:val="21"/>
                <w:highlight w:val="none"/>
              </w:rPr>
              <w:t>XVMC</w:t>
            </w:r>
            <w:r>
              <w:rPr>
                <w:rFonts w:hint="eastAsia" w:ascii="宋体" w:hAnsi="宋体" w:cs="宋体"/>
                <w:color w:val="000000"/>
                <w:kern w:val="0"/>
                <w:szCs w:val="21"/>
                <w:highlight w:val="none"/>
              </w:rPr>
              <w:t>算法：模拟粒子运行轨迹即求真解概率算法，用于每个循环进程，提供高精度剂量分布；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10.5.5.3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光子线提供</w:t>
            </w:r>
            <w:r>
              <w:rPr>
                <w:rFonts w:ascii="宋体" w:hAnsi="宋体" w:cs="宋体"/>
                <w:color w:val="000000"/>
                <w:kern w:val="0"/>
                <w:szCs w:val="21"/>
                <w:highlight w:val="none"/>
              </w:rPr>
              <w:t>Collapsed Cone</w:t>
            </w:r>
            <w:r>
              <w:rPr>
                <w:rFonts w:hint="eastAsia" w:ascii="宋体" w:hAnsi="宋体" w:cs="宋体"/>
                <w:color w:val="000000"/>
                <w:kern w:val="0"/>
                <w:szCs w:val="21"/>
                <w:highlight w:val="none"/>
              </w:rPr>
              <w:t>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10.5.5.4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电子线蒙卡</w:t>
            </w:r>
            <w:r>
              <w:rPr>
                <w:rFonts w:ascii="宋体" w:hAnsi="宋体" w:cs="宋体"/>
                <w:color w:val="000000"/>
                <w:kern w:val="0"/>
                <w:szCs w:val="21"/>
                <w:highlight w:val="none"/>
              </w:rPr>
              <w:t>EMC</w:t>
            </w:r>
            <w:r>
              <w:rPr>
                <w:rFonts w:hint="eastAsia" w:ascii="宋体" w:hAnsi="宋体" w:cs="宋体"/>
                <w:color w:val="000000"/>
                <w:kern w:val="0"/>
                <w:szCs w:val="21"/>
                <w:highlight w:val="none"/>
              </w:rPr>
              <w:t>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 xml:space="preserve">10.5.5.5 </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可将第三方其他算法的计划导入到入到本次购置的</w:t>
            </w:r>
            <w:r>
              <w:rPr>
                <w:rFonts w:ascii="宋体" w:hAnsi="宋体" w:cs="宋体"/>
                <w:color w:val="000000"/>
                <w:kern w:val="0"/>
                <w:szCs w:val="21"/>
                <w:highlight w:val="none"/>
              </w:rPr>
              <w:t>TPS</w:t>
            </w:r>
            <w:r>
              <w:rPr>
                <w:rFonts w:hint="eastAsia" w:ascii="宋体" w:hAnsi="宋体" w:cs="宋体"/>
                <w:color w:val="000000"/>
                <w:kern w:val="0"/>
                <w:szCs w:val="21"/>
                <w:highlight w:val="none"/>
              </w:rPr>
              <w:t>使用蒙特卡洛算法重新计算。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CT</w:t>
            </w:r>
            <w:r>
              <w:rPr>
                <w:rFonts w:hint="eastAsia" w:ascii="宋体" w:hAnsi="宋体" w:cs="宋体"/>
                <w:color w:val="000000"/>
                <w:kern w:val="0"/>
                <w:szCs w:val="21"/>
                <w:highlight w:val="none"/>
              </w:rPr>
              <w:t>模拟功能：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多方位重建视图：能生成任意方位剖面的重建；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生成的</w:t>
            </w:r>
            <w:r>
              <w:rPr>
                <w:rFonts w:ascii="宋体" w:hAnsi="宋体" w:cs="宋体"/>
                <w:color w:val="000000"/>
                <w:kern w:val="0"/>
                <w:szCs w:val="21"/>
                <w:highlight w:val="none"/>
              </w:rPr>
              <w:t>DRR</w:t>
            </w:r>
            <w:r>
              <w:rPr>
                <w:rFonts w:hint="eastAsia" w:ascii="宋体" w:hAnsi="宋体" w:cs="宋体"/>
                <w:color w:val="000000"/>
                <w:kern w:val="0"/>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10.5.6.2.1</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DRR</w:t>
            </w:r>
            <w:r>
              <w:rPr>
                <w:rFonts w:hint="eastAsia" w:ascii="宋体" w:hAnsi="宋体" w:cs="宋体"/>
                <w:color w:val="000000"/>
                <w:kern w:val="0"/>
                <w:szCs w:val="21"/>
                <w:highlight w:val="none"/>
              </w:rPr>
              <w:t>重建矩阵不小于</w:t>
            </w:r>
            <w:r>
              <w:rPr>
                <w:rFonts w:ascii="宋体" w:hAnsi="宋体" w:cs="宋体"/>
                <w:color w:val="000000"/>
                <w:kern w:val="0"/>
                <w:szCs w:val="21"/>
                <w:highlight w:val="none"/>
              </w:rPr>
              <w:t>CT</w:t>
            </w:r>
            <w:r>
              <w:rPr>
                <w:rFonts w:hint="eastAsia" w:ascii="宋体" w:hAnsi="宋体" w:cs="宋体"/>
                <w:color w:val="000000"/>
                <w:kern w:val="0"/>
                <w:szCs w:val="21"/>
                <w:highlight w:val="none"/>
              </w:rPr>
              <w:t>扫描矩阵</w:t>
            </w:r>
            <w:r>
              <w:rPr>
                <w:rFonts w:ascii="宋体" w:hAnsi="宋体" w:cs="宋体"/>
                <w:color w:val="000000"/>
                <w:kern w:val="0"/>
                <w:szCs w:val="21"/>
                <w:highlight w:val="none"/>
              </w:rPr>
              <w:t>(</w:t>
            </w:r>
            <w:r>
              <w:rPr>
                <w:rFonts w:hint="eastAsia" w:ascii="宋体" w:hAnsi="宋体" w:cs="宋体"/>
                <w:color w:val="000000"/>
                <w:kern w:val="0"/>
                <w:szCs w:val="21"/>
                <w:highlight w:val="none"/>
              </w:rPr>
              <w:t>≧</w:t>
            </w:r>
            <w:r>
              <w:rPr>
                <w:rFonts w:ascii="宋体" w:hAnsi="宋体" w:cs="宋体"/>
                <w:color w:val="000000"/>
                <w:kern w:val="0"/>
                <w:szCs w:val="21"/>
                <w:highlight w:val="none"/>
              </w:rPr>
              <w:t>512X512)</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10.5.6.2.2</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DRR</w:t>
            </w:r>
            <w:r>
              <w:rPr>
                <w:rFonts w:hint="eastAsia" w:ascii="宋体" w:hAnsi="宋体" w:cs="宋体"/>
                <w:color w:val="000000"/>
                <w:kern w:val="0"/>
                <w:szCs w:val="21"/>
                <w:highlight w:val="none"/>
              </w:rPr>
              <w:t>可在任意方向平面生成；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10.5.6.2.3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显示骨和软组织的最大密度投影差异；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10.5.6.2.4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鼠标可控制射野角度和准直器方向，</w:t>
            </w:r>
            <w:r>
              <w:rPr>
                <w:rFonts w:ascii="宋体" w:hAnsi="宋体" w:cs="宋体"/>
                <w:color w:val="000000"/>
                <w:kern w:val="0"/>
                <w:szCs w:val="21"/>
                <w:highlight w:val="none"/>
              </w:rPr>
              <w:t>MLC</w:t>
            </w:r>
            <w:r>
              <w:rPr>
                <w:rFonts w:hint="eastAsia" w:ascii="宋体" w:hAnsi="宋体" w:cs="宋体"/>
                <w:color w:val="000000"/>
                <w:kern w:val="0"/>
                <w:szCs w:val="21"/>
                <w:highlight w:val="none"/>
              </w:rPr>
              <w:t>和</w:t>
            </w:r>
            <w:r>
              <w:rPr>
                <w:rFonts w:ascii="宋体" w:hAnsi="宋体" w:cs="宋体"/>
                <w:color w:val="000000"/>
                <w:kern w:val="0"/>
                <w:szCs w:val="21"/>
                <w:highlight w:val="none"/>
              </w:rPr>
              <w:t>port</w:t>
            </w:r>
            <w:r>
              <w:rPr>
                <w:rFonts w:hint="eastAsia" w:ascii="宋体" w:hAnsi="宋体" w:cs="宋体"/>
                <w:color w:val="000000"/>
                <w:kern w:val="0"/>
                <w:szCs w:val="21"/>
                <w:highlight w:val="none"/>
              </w:rPr>
              <w:t>随射野变化而更新；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10.5.6.3</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CT</w:t>
            </w:r>
            <w:r>
              <w:rPr>
                <w:rFonts w:hint="eastAsia" w:ascii="宋体" w:hAnsi="宋体" w:cs="宋体"/>
                <w:color w:val="000000"/>
                <w:kern w:val="0"/>
                <w:szCs w:val="21"/>
                <w:highlight w:val="none"/>
              </w:rPr>
              <w:t>模拟实现方式：可移动激光灯和定位系统。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外照射计划显示要求：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10.5.7.1</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DVH</w:t>
            </w:r>
            <w:r>
              <w:rPr>
                <w:rFonts w:hint="eastAsia" w:ascii="宋体" w:hAnsi="宋体" w:cs="宋体"/>
                <w:color w:val="000000"/>
                <w:kern w:val="0"/>
                <w:szCs w:val="21"/>
                <w:highlight w:val="none"/>
              </w:rPr>
              <w:t>计算和显示；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快速查找剂量的热点和冷点位置；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定制等剂量线显示模板；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10.5.7.4</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DVH</w:t>
            </w:r>
            <w:r>
              <w:rPr>
                <w:rFonts w:hint="eastAsia" w:ascii="宋体" w:hAnsi="宋体" w:cs="宋体"/>
                <w:color w:val="000000"/>
                <w:kern w:val="0"/>
                <w:szCs w:val="21"/>
                <w:highlight w:val="none"/>
              </w:rPr>
              <w:t>实时更新；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10.5.7.5</w:t>
            </w:r>
          </w:p>
        </w:tc>
        <w:tc>
          <w:tcPr>
            <w:tcW w:w="6233" w:type="dxa"/>
            <w:vAlign w:val="center"/>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REV(Room's-Eye-View )</w:t>
            </w:r>
            <w:r>
              <w:rPr>
                <w:rFonts w:hint="eastAsia" w:ascii="宋体" w:hAnsi="宋体" w:cs="宋体"/>
                <w:color w:val="000000"/>
                <w:kern w:val="0"/>
                <w:szCs w:val="21"/>
                <w:highlight w:val="none"/>
              </w:rPr>
              <w:t>视觉观，可虚拟显示患者在机房治疗时的位置，与机架、治疗床、和光野的关系，用以治疗时验证患者；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10.5.7.6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按需要定制显示窗口模板。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10.5.7.7</w:t>
            </w:r>
          </w:p>
        </w:tc>
        <w:tc>
          <w:tcPr>
            <w:tcW w:w="6233" w:type="dxa"/>
            <w:vAlign w:val="center"/>
          </w:tcPr>
          <w:p>
            <w:pPr>
              <w:widowControl/>
              <w:jc w:val="left"/>
              <w:rPr>
                <w:rFonts w:ascii="宋体" w:hAnsi="宋体" w:cs="宋体"/>
                <w:color w:val="000000"/>
                <w:kern w:val="0"/>
                <w:szCs w:val="21"/>
                <w:highlight w:val="none"/>
              </w:rPr>
            </w:pPr>
            <w:r>
              <w:rPr>
                <w:rFonts w:hint="eastAsia"/>
                <w:highlight w:val="none"/>
              </w:rPr>
              <w:t>具备计划剂量的相加、相减功能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10.5.8</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该软件系统的</w:t>
            </w:r>
            <w:r>
              <w:rPr>
                <w:rFonts w:ascii="宋体" w:hAnsi="宋体" w:cs="宋体"/>
                <w:color w:val="000000"/>
                <w:kern w:val="0"/>
                <w:szCs w:val="21"/>
                <w:highlight w:val="none"/>
              </w:rPr>
              <w:t>VMAT</w:t>
            </w:r>
            <w:r>
              <w:rPr>
                <w:rFonts w:hint="eastAsia" w:ascii="宋体" w:hAnsi="宋体" w:cs="宋体"/>
                <w:color w:val="000000"/>
                <w:kern w:val="0"/>
                <w:szCs w:val="21"/>
                <w:highlight w:val="none"/>
              </w:rPr>
              <w:t>计划功能要求如下：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10.5.8.1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支持容积旋转调强技术，设计容积旋转调强计划时，机架的起始角，床角，拉弧数目可根据需要设定；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10.5.8.2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支持单个射野的多弧设计；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10.5.8.3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可进行单弧、多弧特别是非共面多弧的计划设计和自动优化；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10.5.8.4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可提供设计所需的灵活性，机架运动方向可自动分类、所有控制点无缝整合在一个执行序列（弧）中，技术员只需点击一键即可控制计划在加速器上的执行；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10.5.8.5</w:t>
            </w:r>
          </w:p>
        </w:tc>
        <w:tc>
          <w:tcPr>
            <w:tcW w:w="6233" w:type="dxa"/>
            <w:vAlign w:val="center"/>
          </w:tcPr>
          <w:p>
            <w:pPr>
              <w:pStyle w:val="4"/>
              <w:rPr>
                <w:rFonts w:ascii="宋体" w:hAnsi="宋体" w:cs="宋体"/>
                <w:color w:val="000000"/>
                <w:kern w:val="0"/>
                <w:szCs w:val="21"/>
                <w:highlight w:val="none"/>
              </w:rPr>
            </w:pPr>
            <w:r>
              <w:rPr>
                <w:rFonts w:hint="eastAsia" w:ascii="宋体" w:hAnsi="宋体" w:cs="宋体"/>
                <w:color w:val="000000"/>
                <w:kern w:val="0"/>
                <w:szCs w:val="21"/>
                <w:highlight w:val="none"/>
              </w:rPr>
              <w:t>高度调制能力（控制点数</w:t>
            </w:r>
            <w:r>
              <w:rPr>
                <w:rFonts w:hint="eastAsia" w:asciiTheme="minorEastAsia" w:hAnsiTheme="minorEastAsia"/>
                <w:highlight w:val="none"/>
              </w:rPr>
              <w:t>≥</w:t>
            </w:r>
            <w:r>
              <w:rPr>
                <w:rFonts w:ascii="宋体" w:hAnsi="宋体" w:cs="宋体"/>
                <w:color w:val="000000"/>
                <w:kern w:val="0"/>
                <w:szCs w:val="21"/>
                <w:highlight w:val="none"/>
              </w:rPr>
              <w:t>1024</w:t>
            </w:r>
            <w:r>
              <w:rPr>
                <w:rFonts w:hint="eastAsia" w:ascii="宋体" w:hAnsi="宋体" w:cs="宋体"/>
                <w:color w:val="000000"/>
                <w:kern w:val="0"/>
                <w:szCs w:val="21"/>
                <w:highlight w:val="none"/>
              </w:rPr>
              <w:t>），可处理</w:t>
            </w:r>
            <w:r>
              <w:rPr>
                <w:rFonts w:ascii="宋体" w:hAnsi="宋体" w:cs="宋体"/>
                <w:color w:val="000000"/>
                <w:kern w:val="0"/>
                <w:szCs w:val="21"/>
                <w:highlight w:val="none"/>
              </w:rPr>
              <w:t>VMAT</w:t>
            </w:r>
            <w:r>
              <w:rPr>
                <w:rFonts w:hint="eastAsia" w:ascii="宋体" w:hAnsi="宋体" w:cs="宋体"/>
                <w:color w:val="000000"/>
                <w:kern w:val="0"/>
                <w:szCs w:val="21"/>
                <w:highlight w:val="none"/>
              </w:rPr>
              <w:t>弧形射野的许多变量（机架速度可变、剂量率可变、</w:t>
            </w:r>
            <w:r>
              <w:rPr>
                <w:rFonts w:ascii="宋体" w:hAnsi="宋体" w:cs="宋体"/>
                <w:color w:val="000000"/>
                <w:kern w:val="0"/>
                <w:szCs w:val="21"/>
                <w:highlight w:val="none"/>
              </w:rPr>
              <w:t>MLC</w:t>
            </w:r>
            <w:r>
              <w:rPr>
                <w:rFonts w:hint="eastAsia" w:ascii="宋体" w:hAnsi="宋体" w:cs="宋体"/>
                <w:color w:val="000000"/>
                <w:kern w:val="0"/>
                <w:szCs w:val="21"/>
                <w:highlight w:val="none"/>
              </w:rPr>
              <w:t>运动速度可变），变量越多方可完成复杂的剂量要求、提高计划质量和执行效率；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color w:val="000000"/>
                <w:kern w:val="0"/>
                <w:szCs w:val="21"/>
                <w:highlight w:val="none"/>
              </w:rPr>
              <w:t>10.6</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配置一套治疗计划系统（含一台物理工作站，三个医生工作站）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kern w:val="0"/>
                <w:szCs w:val="21"/>
                <w:highlight w:val="none"/>
              </w:rPr>
            </w:pPr>
            <w:r>
              <w:rPr>
                <w:rFonts w:ascii="宋体" w:hAnsi="宋体" w:cs="Arial"/>
                <w:b/>
                <w:kern w:val="0"/>
                <w:szCs w:val="21"/>
                <w:highlight w:val="none"/>
              </w:rPr>
              <w:t>11</w:t>
            </w:r>
          </w:p>
        </w:tc>
        <w:tc>
          <w:tcPr>
            <w:tcW w:w="6233" w:type="dxa"/>
            <w:vAlign w:val="center"/>
          </w:tcPr>
          <w:p>
            <w:pPr>
              <w:widowControl/>
              <w:jc w:val="left"/>
              <w:rPr>
                <w:rFonts w:ascii="宋体" w:hAnsi="宋体" w:cs="宋体"/>
                <w:b/>
                <w:kern w:val="0"/>
                <w:szCs w:val="21"/>
                <w:highlight w:val="none"/>
              </w:rPr>
            </w:pPr>
            <w:r>
              <w:rPr>
                <w:rFonts w:hint="eastAsia" w:ascii="宋体" w:hAnsi="宋体" w:cs="宋体"/>
                <w:b/>
                <w:kern w:val="0"/>
                <w:szCs w:val="21"/>
                <w:highlight w:val="none"/>
              </w:rPr>
              <w:t>肿瘤信息管理系统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11.1</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提供一套的肿瘤放疗信息系统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支持与目前主流放疗设备的接入，应包含：医科达、瓦里安各型号直线加速器和</w:t>
            </w:r>
            <w:r>
              <w:rPr>
                <w:rFonts w:ascii="宋体" w:hAnsi="宋体" w:cs="宋体"/>
                <w:color w:val="000000"/>
                <w:kern w:val="0"/>
                <w:szCs w:val="21"/>
                <w:highlight w:val="none"/>
              </w:rPr>
              <w:t>Tomo</w:t>
            </w:r>
            <w:r>
              <w:rPr>
                <w:rFonts w:hint="eastAsia" w:ascii="宋体" w:hAnsi="宋体" w:cs="宋体"/>
                <w:color w:val="000000"/>
                <w:kern w:val="0"/>
                <w:szCs w:val="21"/>
                <w:highlight w:val="none"/>
              </w:rPr>
              <w:t>、射波刀等（须提供技术白皮书等证明材料）。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11.3</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操作系统和数据库正版软件要求：所有运行于服务器和工作站的软件必须是正版软件，在交货时，应提供所有软件的安装光盘、软件许可证、原厂技术文档及详细使用说明。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11.4</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软件用户操作界面须为中文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hint="eastAsia" w:ascii="宋体" w:hAnsi="宋体" w:cs="Arial" w:eastAsiaTheme="minorEastAsia"/>
                <w:color w:val="000000"/>
                <w:kern w:val="0"/>
                <w:szCs w:val="21"/>
                <w:highlight w:val="none"/>
                <w:lang w:eastAsia="zh-CN"/>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网络拓扑结构：以太网结构</w:t>
            </w:r>
          </w:p>
        </w:tc>
      </w:tr>
      <w:tr>
        <w:tblPrEx>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.2</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网络通讯协议：</w:t>
            </w:r>
            <w:r>
              <w:rPr>
                <w:rFonts w:ascii="宋体" w:hAnsi="宋体" w:cs="宋体"/>
                <w:color w:val="000000"/>
                <w:kern w:val="0"/>
                <w:szCs w:val="21"/>
                <w:highlight w:val="none"/>
              </w:rPr>
              <w:t>TCP/IP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.3</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网络数据传输速度≥</w:t>
            </w:r>
            <w:r>
              <w:rPr>
                <w:rFonts w:ascii="宋体" w:hAnsi="宋体" w:cs="宋体"/>
                <w:color w:val="000000"/>
                <w:kern w:val="0"/>
                <w:szCs w:val="21"/>
                <w:highlight w:val="none"/>
              </w:rPr>
              <w:t>1 GB/s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.4</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放射治疗支持：能够实时记录、验证本次招标采购所购置的直线加速器。</w:t>
            </w:r>
          </w:p>
        </w:tc>
      </w:tr>
      <w:tr>
        <w:tblPrEx>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.3</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系统架构：支持</w:t>
            </w:r>
            <w:r>
              <w:rPr>
                <w:rFonts w:ascii="宋体" w:hAnsi="宋体" w:cs="宋体"/>
                <w:color w:val="000000"/>
                <w:kern w:val="0"/>
                <w:szCs w:val="21"/>
                <w:highlight w:val="none"/>
              </w:rPr>
              <w:t xml:space="preserve">C/S </w:t>
            </w:r>
            <w:r>
              <w:rPr>
                <w:rFonts w:hint="eastAsia" w:ascii="宋体" w:hAnsi="宋体" w:cs="宋体"/>
                <w:color w:val="000000"/>
                <w:kern w:val="0"/>
                <w:szCs w:val="21"/>
                <w:highlight w:val="none"/>
              </w:rPr>
              <w:t>系统架构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.4</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操作系统：支持</w:t>
            </w:r>
            <w:r>
              <w:rPr>
                <w:rFonts w:ascii="宋体" w:hAnsi="宋体" w:cs="宋体"/>
                <w:color w:val="000000"/>
                <w:kern w:val="0"/>
                <w:szCs w:val="21"/>
                <w:highlight w:val="none"/>
              </w:rPr>
              <w:t>X86</w:t>
            </w:r>
            <w:r>
              <w:rPr>
                <w:rFonts w:hint="eastAsia" w:ascii="宋体" w:hAnsi="宋体" w:cs="宋体"/>
                <w:color w:val="000000"/>
                <w:kern w:val="0"/>
                <w:szCs w:val="21"/>
                <w:highlight w:val="none"/>
              </w:rPr>
              <w:t>硬件架构的网络操作系统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.5</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数据库采用大型关系数据库</w:t>
            </w:r>
            <w:r>
              <w:rPr>
                <w:rFonts w:ascii="宋体" w:hAnsi="宋体" w:cs="宋体"/>
                <w:color w:val="000000"/>
                <w:kern w:val="0"/>
                <w:szCs w:val="21"/>
                <w:highlight w:val="none"/>
              </w:rPr>
              <w:t>MS SQL Server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.6</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放疗数据库应用软件：是建立和应用于上述服务器数据库系统平台上的应用软件和用户界面程序。所有的病人治疗数据，包括文字资料、图像资料、治疗计划数据和治疗过程中产生的图像和文字数据等，均应储存在服务器数据库中，以方便管理、备份和所有联网工作站的信息资源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.7</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用户权限管理：用户权限集中管理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.8</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电子病历软件功能：数据、治疗计划的浏览功能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.8.1</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能实现病人基础</w:t>
            </w:r>
            <w:r>
              <w:rPr>
                <w:rFonts w:ascii="宋体" w:hAnsi="宋体" w:cs="宋体"/>
                <w:color w:val="000000"/>
                <w:kern w:val="0"/>
                <w:szCs w:val="21"/>
                <w:highlight w:val="none"/>
              </w:rPr>
              <w:t>ADT</w:t>
            </w:r>
            <w:r>
              <w:rPr>
                <w:rFonts w:hint="eastAsia" w:ascii="宋体" w:hAnsi="宋体" w:cs="宋体"/>
                <w:color w:val="000000"/>
                <w:kern w:val="0"/>
                <w:szCs w:val="21"/>
                <w:highlight w:val="none"/>
              </w:rPr>
              <w:t>数据的录入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.8.2</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能实现患者原始数据录入，快速检索患者资料、医嘱、治疗安排等相关信息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.8.3</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治疗日历模块能自动安排患者治疗时间和治疗模式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.8.4</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要求具有统计图表绘制功能，自动分析设备、病人和资源的利用情况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.9</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高级放疗技术应用支持要求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.9.1</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支持分割放疗管理，完整记录验证。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.9.2</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调强放疗支持要求：等中心旋转放疗、非共平面放疗、多叶准直器、不规则照射野、适形放疗、调强放疗等所有外照射放疗的应用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.9.3</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支持容积旋转调强放疗技术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.10</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治疗方案定义模块：可基于模板自动生成治疗方案，包括剂量、射野名称和数量、分次模式等。模板可用户自定义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.11</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患者诊断功能模块：记录患者的诊断信息，支持</w:t>
            </w:r>
            <w:r>
              <w:rPr>
                <w:rFonts w:ascii="宋体" w:hAnsi="宋体" w:cs="宋体"/>
                <w:color w:val="000000"/>
                <w:kern w:val="0"/>
                <w:szCs w:val="21"/>
                <w:highlight w:val="none"/>
              </w:rPr>
              <w:t>ICD-10</w:t>
            </w:r>
            <w:r>
              <w:rPr>
                <w:rFonts w:hint="eastAsia" w:ascii="宋体" w:hAnsi="宋体" w:cs="宋体"/>
                <w:color w:val="000000"/>
                <w:kern w:val="0"/>
                <w:szCs w:val="21"/>
                <w:highlight w:val="none"/>
              </w:rPr>
              <w:t>编码，肿瘤分期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.12</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射野设计工具：生成和编辑多叶准直器设置参数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软件支持加速器连接要求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.13.1</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加速器连接：连接本次采购的直线加速器的参数验证，指示超出误差范围，用户自定义误差范围限制。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.13.2</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要求支持实时影像验证（</w:t>
            </w:r>
            <w:r>
              <w:rPr>
                <w:rFonts w:ascii="宋体" w:hAnsi="宋体" w:cs="宋体"/>
                <w:color w:val="000000"/>
                <w:kern w:val="0"/>
                <w:szCs w:val="21"/>
                <w:highlight w:val="none"/>
              </w:rPr>
              <w:t>EPID</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.13.3</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要求支持</w:t>
            </w:r>
            <w:r>
              <w:rPr>
                <w:rFonts w:ascii="宋体" w:hAnsi="宋体" w:cs="宋体"/>
                <w:color w:val="000000"/>
                <w:kern w:val="0"/>
                <w:szCs w:val="21"/>
                <w:highlight w:val="none"/>
              </w:rPr>
              <w:t>Cone Beam CT</w:t>
            </w:r>
            <w:r>
              <w:rPr>
                <w:rFonts w:hint="eastAsia" w:ascii="宋体" w:hAnsi="宋体" w:cs="宋体"/>
                <w:color w:val="000000"/>
                <w:kern w:val="0"/>
                <w:szCs w:val="21"/>
                <w:highlight w:val="none"/>
              </w:rPr>
              <w:t>记录和验证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.13.4</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要求支持动态调强和静态调强技术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.13.5</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可设置加速器的机械和治疗参数警报功能，照射参数或剂量超出容许误差时，显示警告信息。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.13.6</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要求支持“自动序列照射”功能，在对一个病人进行多个照射野的连续治疗中，自动按照设定的次序设置加速器和多叶准直器的照射参数，并进行定位验证，中途不需技术员进出治疗室。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.13.7</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治疗计划系统接入要求：支持目前国内市场上主流治疗计划的导入、验证和批准，具有治疗参数的“自动记录和验证”功能，可调节设定误差允许范围。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.14</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记录和验证系统可自动记录实际治疗数据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.14.1</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自动剂量跟踪功能要求：自动累计照射剂量，允许定义多个剂量跟踪点。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.14.2</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可对治疗方案进行</w:t>
            </w:r>
            <w:r>
              <w:rPr>
                <w:rFonts w:ascii="宋体" w:hAnsi="宋体" w:cs="宋体"/>
                <w:color w:val="000000"/>
                <w:kern w:val="0"/>
                <w:szCs w:val="21"/>
                <w:highlight w:val="none"/>
              </w:rPr>
              <w:t>QA</w:t>
            </w:r>
            <w:r>
              <w:rPr>
                <w:rFonts w:hint="eastAsia" w:ascii="宋体" w:hAnsi="宋体" w:cs="宋体"/>
                <w:color w:val="000000"/>
                <w:kern w:val="0"/>
                <w:szCs w:val="21"/>
                <w:highlight w:val="none"/>
              </w:rPr>
              <w:t>验证，自动记录结果。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.14.3</w:t>
            </w:r>
          </w:p>
        </w:tc>
        <w:tc>
          <w:tcPr>
            <w:tcW w:w="6233" w:type="dxa"/>
          </w:tcPr>
          <w:p>
            <w:pPr>
              <w:widowControl/>
              <w:jc w:val="left"/>
              <w:rPr>
                <w:rFonts w:ascii="宋体" w:hAnsi="宋体" w:cs="宋体"/>
                <w:color w:val="000000"/>
                <w:kern w:val="0"/>
                <w:szCs w:val="21"/>
                <w:highlight w:val="none"/>
              </w:rPr>
            </w:pPr>
            <w:r>
              <w:rPr>
                <w:rFonts w:ascii="宋体" w:hAnsi="宋体" w:cs="宋体"/>
                <w:color w:val="000000"/>
                <w:kern w:val="0"/>
                <w:szCs w:val="21"/>
                <w:highlight w:val="none"/>
              </w:rPr>
              <w:t>QA</w:t>
            </w:r>
            <w:r>
              <w:rPr>
                <w:rFonts w:hint="eastAsia" w:ascii="宋体" w:hAnsi="宋体" w:cs="宋体"/>
                <w:color w:val="000000"/>
                <w:kern w:val="0"/>
                <w:szCs w:val="21"/>
                <w:highlight w:val="none"/>
              </w:rPr>
              <w:t>模式下，可按照既定治疗方案用体模进行</w:t>
            </w:r>
            <w:r>
              <w:rPr>
                <w:rFonts w:ascii="宋体" w:hAnsi="宋体" w:cs="宋体"/>
                <w:color w:val="000000"/>
                <w:kern w:val="0"/>
                <w:szCs w:val="21"/>
                <w:highlight w:val="none"/>
              </w:rPr>
              <w:t>QA</w:t>
            </w:r>
            <w:r>
              <w:rPr>
                <w:rFonts w:hint="eastAsia" w:ascii="宋体" w:hAnsi="宋体" w:cs="宋体"/>
                <w:color w:val="000000"/>
                <w:kern w:val="0"/>
                <w:szCs w:val="21"/>
                <w:highlight w:val="none"/>
              </w:rPr>
              <w:t>验证，记录分次剂量，但不计入累计剂量。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tcPr>
          <w:p>
            <w:pPr>
              <w:widowControl/>
              <w:jc w:val="left"/>
              <w:rPr>
                <w:rFonts w:ascii="宋体" w:hAnsi="宋体" w:cs="Arial"/>
                <w:color w:val="000000"/>
                <w:kern w:val="0"/>
                <w:szCs w:val="21"/>
                <w:highlight w:val="none"/>
              </w:rPr>
            </w:pPr>
            <w:r>
              <w:rPr>
                <w:rFonts w:ascii="宋体" w:hAnsi="宋体" w:cs="Arial"/>
                <w:color w:val="000000"/>
                <w:kern w:val="0"/>
                <w:szCs w:val="21"/>
                <w:highlight w:val="none"/>
              </w:rPr>
              <w:t>11.</w:t>
            </w:r>
            <w:r>
              <w:rPr>
                <w:rFonts w:hint="eastAsia" w:ascii="宋体" w:hAnsi="宋体" w:cs="Arial"/>
                <w:color w:val="000000"/>
                <w:kern w:val="0"/>
                <w:szCs w:val="21"/>
                <w:highlight w:val="none"/>
                <w:lang w:val="en-US" w:eastAsia="zh-CN"/>
              </w:rPr>
              <w:t>5</w:t>
            </w:r>
            <w:r>
              <w:rPr>
                <w:rFonts w:ascii="宋体" w:hAnsi="宋体" w:cs="Arial"/>
                <w:color w:val="000000"/>
                <w:kern w:val="0"/>
                <w:szCs w:val="21"/>
                <w:highlight w:val="none"/>
              </w:rPr>
              <w:t>.14.4</w:t>
            </w:r>
          </w:p>
        </w:tc>
        <w:tc>
          <w:tcPr>
            <w:tcW w:w="6233" w:type="dxa"/>
          </w:tcPr>
          <w:p>
            <w:pPr>
              <w:widowControl/>
              <w:jc w:val="left"/>
              <w:rPr>
                <w:rFonts w:ascii="宋体" w:hAnsi="宋体" w:cs="宋体"/>
                <w:color w:val="000000"/>
                <w:kern w:val="0"/>
                <w:szCs w:val="21"/>
                <w:highlight w:val="none"/>
              </w:rPr>
            </w:pPr>
            <w:r>
              <w:rPr>
                <w:rFonts w:hint="eastAsia" w:ascii="宋体" w:hAnsi="宋体" w:cs="宋体"/>
                <w:color w:val="000000"/>
                <w:kern w:val="0"/>
                <w:szCs w:val="21"/>
                <w:highlight w:val="none"/>
              </w:rPr>
              <w:t>可对治疗总剂量和治疗次数进行限制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b/>
                <w:bCs/>
                <w:szCs w:val="21"/>
                <w:highlight w:val="none"/>
              </w:rPr>
              <w:t>12</w:t>
            </w:r>
          </w:p>
        </w:tc>
        <w:tc>
          <w:tcPr>
            <w:tcW w:w="6233" w:type="dxa"/>
            <w:vAlign w:val="center"/>
          </w:tcPr>
          <w:p>
            <w:pPr>
              <w:widowControl/>
              <w:jc w:val="left"/>
              <w:rPr>
                <w:rFonts w:ascii="宋体" w:hAnsi="宋体" w:cs="宋体"/>
                <w:color w:val="000000"/>
                <w:kern w:val="0"/>
                <w:szCs w:val="21"/>
                <w:highlight w:val="none"/>
              </w:rPr>
            </w:pPr>
            <w:r>
              <w:rPr>
                <w:rFonts w:hint="eastAsia" w:ascii="宋体" w:hAnsi="宋体" w:cs="Arial"/>
                <w:b/>
                <w:szCs w:val="21"/>
                <w:highlight w:val="none"/>
              </w:rPr>
              <w:t>呼吸</w:t>
            </w:r>
            <w:r>
              <w:rPr>
                <w:rFonts w:ascii="宋体" w:hAnsi="宋体" w:cs="Arial"/>
                <w:b/>
                <w:szCs w:val="21"/>
                <w:highlight w:val="none"/>
              </w:rPr>
              <w:t>门控系统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szCs w:val="21"/>
                <w:highlight w:val="none"/>
              </w:rPr>
              <w:t>12</w:t>
            </w:r>
            <w:r>
              <w:rPr>
                <w:rFonts w:ascii="宋体" w:hAnsi="宋体" w:cs="Arial"/>
                <w:szCs w:val="21"/>
                <w:highlight w:val="none"/>
              </w:rPr>
              <w:t>.1</w:t>
            </w:r>
          </w:p>
        </w:tc>
        <w:tc>
          <w:tcPr>
            <w:tcW w:w="6233" w:type="dxa"/>
            <w:vAlign w:val="center"/>
          </w:tcPr>
          <w:p>
            <w:pPr>
              <w:rPr>
                <w:rFonts w:ascii="宋体" w:hAnsi="宋体" w:cs="Arial"/>
                <w:szCs w:val="21"/>
                <w:highlight w:val="none"/>
              </w:rPr>
            </w:pPr>
            <w:r>
              <w:rPr>
                <w:rFonts w:hint="eastAsia" w:ascii="宋体" w:hAnsi="宋体" w:cs="Arial"/>
                <w:szCs w:val="21"/>
                <w:highlight w:val="none"/>
              </w:rPr>
              <w:t>呼吸门控系统硬件：一套完整系统，包括具有呼吸控制通用接口，门控系统的控制与数据分析的计算机（主流的高档品牌机）及外设</w:t>
            </w:r>
          </w:p>
        </w:tc>
      </w:tr>
      <w:tr>
        <w:tblPrEx>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szCs w:val="21"/>
                <w:highlight w:val="none"/>
              </w:rPr>
              <w:t>12</w:t>
            </w:r>
            <w:r>
              <w:rPr>
                <w:rFonts w:ascii="宋体" w:hAnsi="宋体" w:cs="Arial"/>
                <w:szCs w:val="21"/>
                <w:highlight w:val="none"/>
              </w:rPr>
              <w:t>.2</w:t>
            </w:r>
          </w:p>
        </w:tc>
        <w:tc>
          <w:tcPr>
            <w:tcW w:w="6233" w:type="dxa"/>
            <w:vAlign w:val="center"/>
          </w:tcPr>
          <w:p>
            <w:pPr>
              <w:rPr>
                <w:rFonts w:ascii="宋体" w:hAnsi="宋体" w:cs="Arial"/>
                <w:szCs w:val="21"/>
                <w:highlight w:val="none"/>
              </w:rPr>
            </w:pPr>
            <w:r>
              <w:rPr>
                <w:rFonts w:hint="eastAsia" w:ascii="宋体" w:hAnsi="宋体" w:cs="Arial"/>
                <w:szCs w:val="21"/>
                <w:highlight w:val="none"/>
              </w:rPr>
              <w:t>呼吸门控软件：包括呼吸数据采集的分析软件和评估软件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szCs w:val="21"/>
                <w:highlight w:val="none"/>
              </w:rPr>
              <w:t>12</w:t>
            </w:r>
            <w:r>
              <w:rPr>
                <w:rFonts w:ascii="宋体" w:hAnsi="宋体" w:cs="Arial"/>
                <w:szCs w:val="21"/>
                <w:highlight w:val="none"/>
              </w:rPr>
              <w:t>.3</w:t>
            </w:r>
          </w:p>
        </w:tc>
        <w:tc>
          <w:tcPr>
            <w:tcW w:w="6233" w:type="dxa"/>
            <w:vAlign w:val="center"/>
          </w:tcPr>
          <w:p>
            <w:pPr>
              <w:rPr>
                <w:rFonts w:ascii="宋体" w:hAnsi="宋体" w:cs="Arial"/>
                <w:szCs w:val="21"/>
                <w:highlight w:val="none"/>
              </w:rPr>
            </w:pPr>
            <w:r>
              <w:rPr>
                <w:rFonts w:hint="eastAsia" w:ascii="宋体" w:hAnsi="宋体" w:cs="Arial"/>
                <w:szCs w:val="21"/>
                <w:highlight w:val="none"/>
              </w:rPr>
              <w:t>数据显示：有控制室和治疗室内显示屏，同步显示呼吸流量曲线，有病人同步观察自己呼吸流量曲线的装置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szCs w:val="21"/>
                <w:highlight w:val="none"/>
              </w:rPr>
              <w:t>12</w:t>
            </w:r>
            <w:r>
              <w:rPr>
                <w:rFonts w:ascii="宋体" w:hAnsi="宋体" w:cs="Arial"/>
                <w:szCs w:val="21"/>
                <w:highlight w:val="none"/>
              </w:rPr>
              <w:t>.4</w:t>
            </w:r>
          </w:p>
        </w:tc>
        <w:tc>
          <w:tcPr>
            <w:tcW w:w="6233" w:type="dxa"/>
            <w:vAlign w:val="center"/>
          </w:tcPr>
          <w:p>
            <w:pPr>
              <w:rPr>
                <w:rFonts w:ascii="宋体" w:hAnsi="宋体" w:cs="Arial"/>
                <w:szCs w:val="21"/>
                <w:highlight w:val="none"/>
              </w:rPr>
            </w:pPr>
            <w:r>
              <w:rPr>
                <w:rFonts w:hint="eastAsia" w:ascii="宋体" w:hAnsi="宋体" w:cs="Arial"/>
                <w:szCs w:val="21"/>
                <w:highlight w:val="none"/>
              </w:rPr>
              <w:t>呼吸控制：呼吸的流量通过口含的吸口测量，并显示在控制室的屏幕上，当吸气流量到达预定值后，一个气球阀将会膨胀，从而阻断气流通道并维持一段设定的时间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color w:val="000000"/>
                <w:kern w:val="0"/>
                <w:szCs w:val="21"/>
                <w:highlight w:val="none"/>
              </w:rPr>
            </w:pPr>
            <w:r>
              <w:rPr>
                <w:rFonts w:hint="eastAsia" w:ascii="宋体" w:hAnsi="宋体" w:cs="Arial"/>
                <w:szCs w:val="21"/>
                <w:highlight w:val="none"/>
              </w:rPr>
              <w:t>12</w:t>
            </w:r>
            <w:r>
              <w:rPr>
                <w:rFonts w:ascii="宋体" w:hAnsi="宋体" w:cs="Arial"/>
                <w:szCs w:val="21"/>
                <w:highlight w:val="none"/>
              </w:rPr>
              <w:t>.5</w:t>
            </w:r>
          </w:p>
        </w:tc>
        <w:tc>
          <w:tcPr>
            <w:tcW w:w="6233" w:type="dxa"/>
            <w:vAlign w:val="center"/>
          </w:tcPr>
          <w:p>
            <w:pPr>
              <w:rPr>
                <w:rFonts w:ascii="宋体" w:hAnsi="宋体" w:cs="Arial"/>
                <w:szCs w:val="21"/>
                <w:highlight w:val="none"/>
              </w:rPr>
            </w:pPr>
            <w:r>
              <w:rPr>
                <w:rFonts w:hint="eastAsia" w:ascii="宋体" w:hAnsi="宋体" w:cs="Arial"/>
                <w:szCs w:val="21"/>
                <w:highlight w:val="none"/>
              </w:rPr>
              <w:t>具备安全连锁，通过计算机控制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w:t>
            </w:r>
            <w:r>
              <w:rPr>
                <w:rFonts w:ascii="宋体" w:hAnsi="宋体" w:cs="Arial"/>
                <w:b/>
                <w:bCs/>
                <w:szCs w:val="21"/>
                <w:highlight w:val="none"/>
              </w:rPr>
              <w:t>3</w:t>
            </w:r>
          </w:p>
        </w:tc>
        <w:tc>
          <w:tcPr>
            <w:tcW w:w="6233" w:type="dxa"/>
            <w:vAlign w:val="center"/>
          </w:tcPr>
          <w:p>
            <w:pPr>
              <w:rPr>
                <w:rFonts w:ascii="宋体" w:hAnsi="宋体" w:cs="Arial"/>
                <w:b/>
                <w:bCs/>
                <w:szCs w:val="21"/>
                <w:highlight w:val="none"/>
              </w:rPr>
            </w:pPr>
            <w:r>
              <w:rPr>
                <w:rFonts w:hint="eastAsia" w:ascii="宋体" w:hAnsi="宋体" w:cs="Arial"/>
                <w:b/>
                <w:bCs/>
                <w:szCs w:val="21"/>
                <w:highlight w:val="none"/>
              </w:rPr>
              <w:t>立体定向放射治疗锥形筒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rPr>
                <w:rFonts w:ascii="宋体" w:hAnsi="宋体" w:cs="Arial"/>
                <w:szCs w:val="21"/>
                <w:highlight w:val="none"/>
              </w:rPr>
            </w:pPr>
            <w:r>
              <w:rPr>
                <w:rFonts w:hint="eastAsia" w:ascii="宋体" w:hAnsi="宋体" w:cs="Arial"/>
                <w:szCs w:val="21"/>
                <w:highlight w:val="none"/>
              </w:rPr>
              <w:t>1</w:t>
            </w:r>
            <w:r>
              <w:rPr>
                <w:rFonts w:ascii="宋体" w:hAnsi="宋体" w:cs="Arial"/>
                <w:szCs w:val="21"/>
                <w:highlight w:val="none"/>
              </w:rPr>
              <w:t>3</w:t>
            </w:r>
            <w:r>
              <w:rPr>
                <w:rFonts w:hint="eastAsia" w:ascii="宋体" w:hAnsi="宋体" w:cs="Arial"/>
                <w:szCs w:val="21"/>
                <w:highlight w:val="none"/>
              </w:rPr>
              <w:t>.1</w:t>
            </w:r>
          </w:p>
        </w:tc>
        <w:tc>
          <w:tcPr>
            <w:tcW w:w="6233" w:type="dxa"/>
            <w:vAlign w:val="center"/>
          </w:tcPr>
          <w:p>
            <w:pPr>
              <w:rPr>
                <w:rFonts w:ascii="宋体" w:hAnsi="宋体" w:cs="Arial"/>
                <w:szCs w:val="21"/>
                <w:highlight w:val="none"/>
              </w:rPr>
            </w:pPr>
            <w:r>
              <w:rPr>
                <w:rFonts w:hint="eastAsia" w:ascii="宋体" w:hAnsi="宋体" w:cs="Arial"/>
                <w:szCs w:val="21"/>
                <w:highlight w:val="none"/>
              </w:rPr>
              <w:t>提供一套至少五个立体定向放疗锥形筒Cone（圆筒型），满足射束成型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rPr>
                <w:rFonts w:ascii="宋体" w:hAnsi="宋体" w:cs="Arial"/>
                <w:szCs w:val="21"/>
                <w:highlight w:val="none"/>
              </w:rPr>
            </w:pPr>
            <w:r>
              <w:rPr>
                <w:rFonts w:hint="eastAsia" w:ascii="宋体" w:hAnsi="宋体" w:cs="Arial"/>
                <w:szCs w:val="21"/>
                <w:highlight w:val="none"/>
              </w:rPr>
              <w:t>1</w:t>
            </w:r>
            <w:r>
              <w:rPr>
                <w:rFonts w:ascii="宋体" w:hAnsi="宋体" w:cs="Arial"/>
                <w:szCs w:val="21"/>
                <w:highlight w:val="none"/>
              </w:rPr>
              <w:t>3</w:t>
            </w:r>
            <w:r>
              <w:rPr>
                <w:rFonts w:hint="eastAsia" w:ascii="宋体" w:hAnsi="宋体" w:cs="Arial"/>
                <w:szCs w:val="21"/>
                <w:highlight w:val="none"/>
              </w:rPr>
              <w:t>.2</w:t>
            </w:r>
          </w:p>
        </w:tc>
        <w:tc>
          <w:tcPr>
            <w:tcW w:w="6233" w:type="dxa"/>
            <w:vAlign w:val="center"/>
          </w:tcPr>
          <w:p>
            <w:pPr>
              <w:rPr>
                <w:rFonts w:ascii="宋体" w:hAnsi="宋体" w:cs="Arial"/>
                <w:szCs w:val="21"/>
                <w:highlight w:val="none"/>
              </w:rPr>
            </w:pPr>
            <w:r>
              <w:rPr>
                <w:rFonts w:hint="eastAsia" w:ascii="宋体" w:hAnsi="宋体" w:cs="Arial"/>
                <w:szCs w:val="21"/>
                <w:highlight w:val="none"/>
              </w:rPr>
              <w:t>可以从下列尺寸范围中进行选择：</w:t>
            </w:r>
            <w:r>
              <w:rPr>
                <w:rFonts w:ascii="宋体" w:hAnsi="宋体" w:cs="Arial"/>
                <w:szCs w:val="21"/>
                <w:highlight w:val="none"/>
              </w:rPr>
              <w:t>5mm，7mm，10mm，12mm，15mm，18mm，20mm，25mm，30mm，40mm</w:t>
            </w:r>
            <w:r>
              <w:rPr>
                <w:rFonts w:hint="eastAsia" w:ascii="宋体" w:hAnsi="宋体" w:cs="Arial"/>
                <w:szCs w:val="21"/>
                <w:highlight w:val="none"/>
              </w:rPr>
              <w:t>毫米（等中心直径）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rPr>
                <w:rFonts w:ascii="宋体" w:hAnsi="宋体" w:cs="Arial"/>
                <w:szCs w:val="21"/>
                <w:highlight w:val="none"/>
              </w:rPr>
            </w:pPr>
            <w:r>
              <w:rPr>
                <w:rFonts w:hint="eastAsia" w:ascii="宋体" w:hAnsi="宋体" w:cs="Arial"/>
                <w:szCs w:val="21"/>
                <w:highlight w:val="none"/>
              </w:rPr>
              <w:t>1</w:t>
            </w:r>
            <w:r>
              <w:rPr>
                <w:rFonts w:ascii="宋体" w:hAnsi="宋体" w:cs="Arial"/>
                <w:szCs w:val="21"/>
                <w:highlight w:val="none"/>
              </w:rPr>
              <w:t>3</w:t>
            </w:r>
            <w:r>
              <w:rPr>
                <w:rFonts w:hint="eastAsia" w:ascii="宋体" w:hAnsi="宋体" w:cs="Arial"/>
                <w:szCs w:val="21"/>
                <w:highlight w:val="none"/>
              </w:rPr>
              <w:t>.3</w:t>
            </w:r>
          </w:p>
        </w:tc>
        <w:tc>
          <w:tcPr>
            <w:tcW w:w="6233" w:type="dxa"/>
            <w:vAlign w:val="center"/>
          </w:tcPr>
          <w:p>
            <w:pPr>
              <w:rPr>
                <w:rFonts w:ascii="宋体" w:hAnsi="宋体" w:cs="Arial"/>
                <w:szCs w:val="21"/>
                <w:highlight w:val="none"/>
              </w:rPr>
            </w:pPr>
            <w:r>
              <w:rPr>
                <w:rFonts w:hint="eastAsia" w:ascii="宋体" w:hAnsi="宋体" w:cs="Arial"/>
                <w:szCs w:val="21"/>
                <w:highlight w:val="none"/>
              </w:rPr>
              <w:t>具备相应的锥形筒固定支架及相应的锁定装置，确保患者的治疗安全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rPr>
                <w:rFonts w:ascii="宋体" w:hAnsi="宋体" w:cs="Arial"/>
                <w:szCs w:val="21"/>
                <w:highlight w:val="none"/>
              </w:rPr>
            </w:pPr>
            <w:r>
              <w:rPr>
                <w:rFonts w:hint="eastAsia" w:ascii="宋体" w:hAnsi="宋体" w:cs="Arial"/>
                <w:szCs w:val="21"/>
                <w:highlight w:val="none"/>
              </w:rPr>
              <w:t>14</w:t>
            </w:r>
          </w:p>
        </w:tc>
        <w:tc>
          <w:tcPr>
            <w:tcW w:w="6233" w:type="dxa"/>
            <w:vAlign w:val="center"/>
          </w:tcPr>
          <w:p>
            <w:pPr>
              <w:rPr>
                <w:rFonts w:ascii="宋体" w:hAnsi="宋体" w:cs="Arial"/>
                <w:sz w:val="21"/>
                <w:szCs w:val="21"/>
                <w:highlight w:val="none"/>
              </w:rPr>
            </w:pPr>
            <w:r>
              <w:rPr>
                <w:rFonts w:hint="eastAsia" w:ascii="宋体" w:hAnsi="宋体" w:cs="Arial"/>
                <w:b/>
                <w:bCs/>
                <w:sz w:val="21"/>
                <w:szCs w:val="21"/>
                <w:highlight w:val="none"/>
              </w:rPr>
              <w:t>提供原厂体部头部、立体定向放疗</w:t>
            </w:r>
            <w:r>
              <w:rPr>
                <w:rFonts w:ascii="宋体" w:hAnsi="宋体" w:cs="Arial"/>
                <w:b/>
                <w:bCs/>
                <w:sz w:val="21"/>
                <w:szCs w:val="21"/>
                <w:highlight w:val="none"/>
              </w:rPr>
              <w:t>SBRT</w:t>
            </w:r>
            <w:r>
              <w:rPr>
                <w:rFonts w:hint="eastAsia" w:ascii="宋体" w:hAnsi="宋体" w:cs="Arial"/>
                <w:b/>
                <w:bCs/>
                <w:sz w:val="21"/>
                <w:szCs w:val="21"/>
                <w:highlight w:val="none"/>
              </w:rPr>
              <w:t>精确固定系统一套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w:t>
            </w:r>
          </w:p>
        </w:tc>
        <w:tc>
          <w:tcPr>
            <w:tcW w:w="6233" w:type="dxa"/>
            <w:vAlign w:val="center"/>
          </w:tcPr>
          <w:p>
            <w:pPr>
              <w:rPr>
                <w:rFonts w:ascii="宋体" w:hAnsi="宋体" w:cs="Arial"/>
                <w:b/>
                <w:bCs/>
                <w:sz w:val="21"/>
                <w:szCs w:val="21"/>
                <w:highlight w:val="none"/>
              </w:rPr>
            </w:pPr>
            <w:r>
              <w:rPr>
                <w:rFonts w:hint="eastAsia" w:ascii="宋体" w:hAnsi="宋体" w:cs="Arial"/>
                <w:b/>
                <w:bCs/>
                <w:sz w:val="21"/>
                <w:szCs w:val="21"/>
                <w:highlight w:val="none"/>
              </w:rPr>
              <w:t>配套第三方产品一批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w:t>
            </w:r>
          </w:p>
        </w:tc>
        <w:tc>
          <w:tcPr>
            <w:tcW w:w="6233" w:type="dxa"/>
            <w:vAlign w:val="center"/>
          </w:tcPr>
          <w:p>
            <w:pPr>
              <w:rPr>
                <w:rFonts w:ascii="宋体" w:hAnsi="宋体" w:cs="Arial"/>
                <w:b/>
                <w:bCs/>
                <w:sz w:val="21"/>
                <w:szCs w:val="21"/>
                <w:highlight w:val="none"/>
              </w:rPr>
            </w:pPr>
            <w:r>
              <w:rPr>
                <w:rFonts w:ascii="Arial" w:hAnsi="Arial" w:cs="Arial"/>
                <w:kern w:val="0"/>
                <w:sz w:val="21"/>
                <w:szCs w:val="21"/>
                <w:highlight w:val="none"/>
              </w:rPr>
              <w:t>QA/QC</w:t>
            </w:r>
            <w:r>
              <w:rPr>
                <w:rFonts w:hint="eastAsia" w:ascii="Arial" w:hAnsi="Arial" w:cs="Arial"/>
                <w:kern w:val="0"/>
                <w:sz w:val="21"/>
                <w:szCs w:val="21"/>
                <w:highlight w:val="none"/>
              </w:rPr>
              <w:t>（质控质检）设备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15.1.1</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固体水</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15.1.2</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剂量仪</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15.1.3</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射线束扫描系统（含二、三维验证）</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15.1.4</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自动扫描水箱</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15.1.5</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晨检仪</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15.1.6</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等中心校准仪</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15.1.7</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温度、空气压力计</w:t>
            </w:r>
            <w:r>
              <w:rPr>
                <w:rFonts w:ascii="Arial" w:hAnsi="Arial" w:cs="Arial"/>
                <w:kern w:val="0"/>
                <w:sz w:val="21"/>
                <w:szCs w:val="21"/>
                <w:highlight w:val="none"/>
              </w:rPr>
              <w:t>1</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辅助定位设备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头颈肩体部固定一体板</w:t>
            </w:r>
            <w:r>
              <w:rPr>
                <w:rFonts w:ascii="Arial" w:hAnsi="Arial" w:cs="Arial"/>
                <w:kern w:val="0"/>
                <w:sz w:val="21"/>
                <w:szCs w:val="21"/>
                <w:highlight w:val="none"/>
              </w:rPr>
              <w:t>2</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15.2.2</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聚氨酯头枕</w:t>
            </w:r>
            <w:r>
              <w:rPr>
                <w:rFonts w:ascii="Arial" w:hAnsi="Arial" w:cs="Arial"/>
                <w:kern w:val="0"/>
                <w:sz w:val="21"/>
                <w:szCs w:val="21"/>
                <w:highlight w:val="none"/>
              </w:rPr>
              <w:tab/>
            </w:r>
            <w:r>
              <w:rPr>
                <w:rFonts w:ascii="Arial" w:hAnsi="Arial" w:cs="Arial"/>
                <w:kern w:val="0"/>
                <w:sz w:val="21"/>
                <w:szCs w:val="21"/>
                <w:highlight w:val="none"/>
              </w:rPr>
              <w:t>2</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15.2.3</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头膜</w:t>
            </w:r>
            <w:r>
              <w:rPr>
                <w:rFonts w:ascii="Arial" w:hAnsi="Arial" w:cs="Arial"/>
                <w:kern w:val="0"/>
                <w:sz w:val="21"/>
                <w:szCs w:val="21"/>
                <w:highlight w:val="none"/>
              </w:rPr>
              <w:t>10</w:t>
            </w:r>
            <w:r>
              <w:rPr>
                <w:rFonts w:hint="eastAsia" w:ascii="Arial" w:hAnsi="Arial" w:cs="Arial"/>
                <w:kern w:val="0"/>
                <w:sz w:val="21"/>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15.2.4</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颈肩膜</w:t>
            </w:r>
            <w:r>
              <w:rPr>
                <w:rFonts w:ascii="Arial" w:hAnsi="Arial" w:cs="Arial"/>
                <w:kern w:val="0"/>
                <w:sz w:val="21"/>
                <w:szCs w:val="21"/>
                <w:highlight w:val="none"/>
              </w:rPr>
              <w:t>10</w:t>
            </w:r>
            <w:r>
              <w:rPr>
                <w:rFonts w:hint="eastAsia" w:ascii="Arial" w:hAnsi="Arial" w:cs="Arial"/>
                <w:kern w:val="0"/>
                <w:sz w:val="21"/>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15.2.5</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头颈肩膜</w:t>
            </w:r>
            <w:r>
              <w:rPr>
                <w:rFonts w:ascii="Arial" w:hAnsi="Arial" w:cs="Arial"/>
                <w:kern w:val="0"/>
                <w:sz w:val="21"/>
                <w:szCs w:val="21"/>
                <w:highlight w:val="none"/>
              </w:rPr>
              <w:t>10</w:t>
            </w:r>
            <w:r>
              <w:rPr>
                <w:rFonts w:hint="eastAsia" w:ascii="Arial" w:hAnsi="Arial" w:cs="Arial"/>
                <w:kern w:val="0"/>
                <w:sz w:val="21"/>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15.2.6</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体膜</w:t>
            </w:r>
            <w:r>
              <w:rPr>
                <w:rFonts w:ascii="Arial" w:hAnsi="Arial" w:cs="Arial"/>
                <w:kern w:val="0"/>
                <w:sz w:val="21"/>
                <w:szCs w:val="21"/>
                <w:highlight w:val="none"/>
              </w:rPr>
              <w:t>10</w:t>
            </w:r>
            <w:r>
              <w:rPr>
                <w:rFonts w:hint="eastAsia" w:ascii="Arial" w:hAnsi="Arial" w:cs="Arial"/>
                <w:kern w:val="0"/>
                <w:sz w:val="21"/>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15.2.7</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真空垫</w:t>
            </w:r>
            <w:r>
              <w:rPr>
                <w:rFonts w:ascii="Arial" w:hAnsi="Arial" w:cs="Arial"/>
                <w:kern w:val="0"/>
                <w:sz w:val="21"/>
                <w:szCs w:val="21"/>
                <w:highlight w:val="none"/>
              </w:rPr>
              <w:t>10</w:t>
            </w:r>
            <w:r>
              <w:rPr>
                <w:rFonts w:hint="eastAsia" w:ascii="Arial" w:hAnsi="Arial" w:cs="Arial"/>
                <w:kern w:val="0"/>
                <w:sz w:val="21"/>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15.2.8</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恒温水箱</w:t>
            </w:r>
            <w:r>
              <w:rPr>
                <w:rFonts w:ascii="Arial" w:hAnsi="Arial" w:cs="Arial"/>
                <w:kern w:val="0"/>
                <w:sz w:val="21"/>
                <w:szCs w:val="21"/>
                <w:highlight w:val="none"/>
              </w:rPr>
              <w:t>1</w:t>
            </w:r>
            <w:r>
              <w:rPr>
                <w:rFonts w:hint="eastAsia" w:ascii="Arial" w:hAnsi="Arial" w:cs="Arial"/>
                <w:kern w:val="0"/>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15.2.9</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电动真空泵（含专用接口）</w:t>
            </w:r>
            <w:r>
              <w:rPr>
                <w:rFonts w:ascii="Arial" w:hAnsi="Arial" w:cs="Arial"/>
                <w:kern w:val="0"/>
                <w:sz w:val="21"/>
                <w:szCs w:val="21"/>
                <w:highlight w:val="none"/>
              </w:rPr>
              <w:t>1</w:t>
            </w:r>
            <w:r>
              <w:rPr>
                <w:rFonts w:hint="eastAsia" w:ascii="Arial" w:hAnsi="Arial" w:cs="Arial"/>
                <w:kern w:val="0"/>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15.2.10</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肿瘤靶区标记笔</w:t>
            </w:r>
            <w:r>
              <w:rPr>
                <w:rFonts w:ascii="Arial" w:hAnsi="Arial" w:cs="Arial"/>
                <w:kern w:val="0"/>
                <w:sz w:val="21"/>
                <w:szCs w:val="21"/>
                <w:highlight w:val="none"/>
              </w:rPr>
              <w:t>10</w:t>
            </w:r>
            <w:r>
              <w:rPr>
                <w:rFonts w:hint="eastAsia" w:ascii="Arial" w:hAnsi="Arial" w:cs="Arial"/>
                <w:kern w:val="0"/>
                <w:sz w:val="21"/>
                <w:szCs w:val="21"/>
                <w:highlight w:val="none"/>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15.2.11</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放疗图章1个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15.2.12</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球形金属标记贴</w:t>
            </w:r>
            <w:r>
              <w:rPr>
                <w:rFonts w:ascii="Arial" w:hAnsi="Arial" w:cs="Arial"/>
                <w:kern w:val="0"/>
                <w:sz w:val="21"/>
                <w:szCs w:val="21"/>
                <w:highlight w:val="none"/>
              </w:rPr>
              <w:t>1</w:t>
            </w:r>
            <w:r>
              <w:rPr>
                <w:rFonts w:hint="eastAsia" w:ascii="Arial" w:hAnsi="Arial" w:cs="Arial"/>
                <w:kern w:val="0"/>
                <w:sz w:val="21"/>
                <w:szCs w:val="21"/>
                <w:highlight w:val="none"/>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15.2.13</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标准测量水箱</w:t>
            </w:r>
            <w:r>
              <w:rPr>
                <w:rFonts w:ascii="Arial" w:hAnsi="Arial" w:cs="Arial"/>
                <w:kern w:val="0"/>
                <w:sz w:val="21"/>
                <w:szCs w:val="21"/>
                <w:highlight w:val="none"/>
              </w:rPr>
              <w:t>1</w:t>
            </w:r>
            <w:r>
              <w:rPr>
                <w:rFonts w:hint="eastAsia" w:ascii="Arial" w:hAnsi="Arial" w:cs="Arial"/>
                <w:kern w:val="0"/>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15.2.14</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免洗胶片</w:t>
            </w:r>
            <w:r>
              <w:rPr>
                <w:rFonts w:ascii="Arial" w:hAnsi="Arial" w:cs="Arial"/>
                <w:kern w:val="0"/>
                <w:sz w:val="21"/>
                <w:szCs w:val="21"/>
                <w:highlight w:val="none"/>
              </w:rPr>
              <w:t>1</w:t>
            </w:r>
            <w:r>
              <w:rPr>
                <w:rFonts w:hint="eastAsia" w:ascii="Arial" w:hAnsi="Arial" w:cs="Arial"/>
                <w:kern w:val="0"/>
                <w:sz w:val="21"/>
                <w:szCs w:val="21"/>
                <w:highlight w:val="none"/>
              </w:rPr>
              <w:t>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15.2.15</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个人计量报警仪</w:t>
            </w:r>
            <w:r>
              <w:rPr>
                <w:rFonts w:ascii="Arial" w:hAnsi="Arial" w:cs="Arial"/>
                <w:kern w:val="0"/>
                <w:sz w:val="21"/>
                <w:szCs w:val="21"/>
                <w:highlight w:val="none"/>
              </w:rPr>
              <w:t>4</w:t>
            </w:r>
            <w:r>
              <w:rPr>
                <w:rFonts w:hint="eastAsia" w:ascii="Arial" w:hAnsi="Arial" w:cs="Arial"/>
                <w:kern w:val="0"/>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15.2.16</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固定式辐射报警仪</w:t>
            </w:r>
            <w:r>
              <w:rPr>
                <w:rFonts w:ascii="Arial" w:hAnsi="Arial" w:cs="Arial"/>
                <w:kern w:val="0"/>
                <w:sz w:val="21"/>
                <w:szCs w:val="21"/>
                <w:highlight w:val="none"/>
              </w:rPr>
              <w:t>1</w:t>
            </w:r>
            <w:r>
              <w:rPr>
                <w:rFonts w:hint="eastAsia" w:ascii="Arial" w:hAnsi="Arial" w:cs="Arial"/>
                <w:kern w:val="0"/>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15.2.17</w:t>
            </w:r>
          </w:p>
        </w:tc>
        <w:tc>
          <w:tcPr>
            <w:tcW w:w="6233" w:type="dxa"/>
          </w:tcPr>
          <w:p>
            <w:pPr>
              <w:keepNext/>
              <w:widowControl/>
              <w:adjustRightInd w:val="0"/>
              <w:snapToGrid w:val="0"/>
              <w:jc w:val="left"/>
              <w:rPr>
                <w:rFonts w:ascii="Arial" w:hAnsi="Arial" w:cs="Arial"/>
                <w:kern w:val="0"/>
                <w:sz w:val="21"/>
                <w:szCs w:val="21"/>
                <w:highlight w:val="none"/>
              </w:rPr>
            </w:pPr>
            <w:r>
              <w:rPr>
                <w:rFonts w:hint="eastAsia" w:ascii="Arial" w:hAnsi="Arial" w:cs="Arial"/>
                <w:kern w:val="0"/>
                <w:sz w:val="21"/>
                <w:szCs w:val="21"/>
                <w:highlight w:val="none"/>
              </w:rPr>
              <w:t>射线巡检仪</w:t>
            </w:r>
            <w:r>
              <w:rPr>
                <w:rFonts w:ascii="Arial" w:hAnsi="Arial" w:cs="Arial"/>
                <w:kern w:val="0"/>
                <w:sz w:val="21"/>
                <w:szCs w:val="21"/>
                <w:highlight w:val="none"/>
              </w:rPr>
              <w:tab/>
            </w:r>
            <w:r>
              <w:rPr>
                <w:rFonts w:ascii="Arial" w:hAnsi="Arial" w:cs="Arial"/>
                <w:kern w:val="0"/>
                <w:sz w:val="21"/>
                <w:szCs w:val="21"/>
                <w:highlight w:val="none"/>
              </w:rPr>
              <w:t>1</w:t>
            </w:r>
            <w:r>
              <w:rPr>
                <w:rFonts w:hint="eastAsia" w:ascii="Arial" w:hAnsi="Arial" w:cs="Arial"/>
                <w:kern w:val="0"/>
                <w:sz w:val="21"/>
                <w:szCs w:val="21"/>
                <w:highlight w:val="none"/>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15.2.18</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组织补偿胶</w:t>
            </w:r>
            <w:r>
              <w:rPr>
                <w:rFonts w:ascii="Arial" w:hAnsi="Arial" w:cs="Arial"/>
                <w:kern w:val="0"/>
                <w:sz w:val="21"/>
                <w:szCs w:val="21"/>
                <w:highlight w:val="none"/>
              </w:rPr>
              <w:t>4</w:t>
            </w:r>
            <w:r>
              <w:rPr>
                <w:rFonts w:hint="eastAsia" w:ascii="Arial" w:hAnsi="Arial" w:cs="Arial"/>
                <w:kern w:val="0"/>
                <w:sz w:val="21"/>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15.2.19</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人体卡尺</w:t>
            </w:r>
            <w:r>
              <w:rPr>
                <w:rFonts w:ascii="Arial" w:hAnsi="Arial" w:cs="Arial"/>
                <w:kern w:val="0"/>
                <w:sz w:val="21"/>
                <w:szCs w:val="21"/>
                <w:highlight w:val="none"/>
              </w:rPr>
              <w:t>1</w:t>
            </w:r>
            <w:r>
              <w:rPr>
                <w:rFonts w:hint="eastAsia" w:ascii="Arial" w:hAnsi="Arial" w:cs="Arial"/>
                <w:kern w:val="0"/>
                <w:sz w:val="21"/>
                <w:szCs w:val="21"/>
                <w:highlight w:val="none"/>
              </w:rPr>
              <w:t>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szCs w:val="21"/>
                <w:highlight w:val="none"/>
              </w:rPr>
            </w:pPr>
            <w:r>
              <w:rPr>
                <w:rFonts w:hint="eastAsia" w:ascii="宋体" w:hAnsi="宋体" w:cs="Arial"/>
                <w:b/>
                <w:bCs/>
                <w:szCs w:val="21"/>
                <w:highlight w:val="none"/>
              </w:rPr>
              <w:t>15.2.20</w:t>
            </w:r>
          </w:p>
        </w:tc>
        <w:tc>
          <w:tcPr>
            <w:tcW w:w="6233" w:type="dxa"/>
          </w:tcPr>
          <w:p>
            <w:pPr>
              <w:keepNext/>
              <w:widowControl/>
              <w:adjustRightInd w:val="0"/>
              <w:snapToGrid w:val="0"/>
              <w:jc w:val="left"/>
              <w:rPr>
                <w:kern w:val="0"/>
                <w:sz w:val="21"/>
                <w:szCs w:val="21"/>
                <w:highlight w:val="none"/>
              </w:rPr>
            </w:pPr>
            <w:r>
              <w:rPr>
                <w:rFonts w:hint="eastAsia" w:ascii="Arial" w:hAnsi="Arial" w:cs="Arial"/>
                <w:kern w:val="0"/>
                <w:sz w:val="21"/>
                <w:szCs w:val="21"/>
                <w:highlight w:val="none"/>
              </w:rPr>
              <w:t>透明枕头</w:t>
            </w:r>
            <w:r>
              <w:rPr>
                <w:rFonts w:ascii="Arial" w:hAnsi="Arial" w:cs="Arial"/>
                <w:kern w:val="0"/>
                <w:sz w:val="21"/>
                <w:szCs w:val="21"/>
                <w:highlight w:val="none"/>
              </w:rPr>
              <w:t>2</w:t>
            </w:r>
            <w:r>
              <w:rPr>
                <w:rFonts w:hint="eastAsia" w:ascii="Arial" w:hAnsi="Arial" w:cs="Arial"/>
                <w:kern w:val="0"/>
                <w:sz w:val="21"/>
                <w:szCs w:val="21"/>
                <w:highlight w:val="none"/>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auto"/>
                <w:szCs w:val="21"/>
                <w:highlight w:val="none"/>
              </w:rPr>
            </w:pPr>
            <w:r>
              <w:rPr>
                <w:rFonts w:hint="eastAsia" w:ascii="宋体" w:hAnsi="宋体" w:cs="Arial"/>
                <w:b/>
                <w:bCs/>
                <w:color w:val="auto"/>
                <w:szCs w:val="21"/>
                <w:highlight w:val="none"/>
              </w:rPr>
              <w:t>15.2.21</w:t>
            </w:r>
          </w:p>
        </w:tc>
        <w:tc>
          <w:tcPr>
            <w:tcW w:w="6233" w:type="dxa"/>
          </w:tcPr>
          <w:p>
            <w:pPr>
              <w:pStyle w:val="4"/>
              <w:rPr>
                <w:color w:val="auto"/>
                <w:sz w:val="21"/>
                <w:szCs w:val="21"/>
                <w:highlight w:val="none"/>
              </w:rPr>
            </w:pPr>
            <w:r>
              <w:rPr>
                <w:rFonts w:hint="eastAsia"/>
                <w:color w:val="auto"/>
                <w:sz w:val="21"/>
                <w:szCs w:val="21"/>
                <w:highlight w:val="none"/>
              </w:rPr>
              <w:t>双机组精密</w:t>
            </w:r>
            <w:r>
              <w:rPr>
                <w:rFonts w:hint="eastAsia"/>
                <w:color w:val="auto"/>
                <w:sz w:val="21"/>
                <w:szCs w:val="21"/>
                <w:highlight w:val="none"/>
                <w:lang w:val="en-US" w:eastAsia="zh-CN"/>
              </w:rPr>
              <w:t>空调</w:t>
            </w:r>
            <w:r>
              <w:rPr>
                <w:rFonts w:hint="eastAsia"/>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 w:type="dxa"/>
            <w:vAlign w:val="center"/>
          </w:tcPr>
          <w:p>
            <w:pPr>
              <w:widowControl/>
              <w:jc w:val="left"/>
              <w:rPr>
                <w:rFonts w:ascii="宋体" w:hAnsi="宋体" w:cs="Arial"/>
                <w:b/>
                <w:bCs/>
                <w:color w:val="auto"/>
                <w:szCs w:val="21"/>
                <w:highlight w:val="none"/>
              </w:rPr>
            </w:pPr>
            <w:r>
              <w:rPr>
                <w:rFonts w:hint="eastAsia" w:ascii="宋体" w:hAnsi="宋体" w:cs="Arial"/>
                <w:b/>
                <w:bCs/>
                <w:color w:val="auto"/>
                <w:szCs w:val="21"/>
                <w:highlight w:val="none"/>
              </w:rPr>
              <w:t>16</w:t>
            </w:r>
          </w:p>
        </w:tc>
        <w:tc>
          <w:tcPr>
            <w:tcW w:w="6233" w:type="dxa"/>
          </w:tcPr>
          <w:p>
            <w:pPr>
              <w:pStyle w:val="4"/>
              <w:rPr>
                <w:rFonts w:hint="eastAsia"/>
                <w:color w:val="auto"/>
                <w:sz w:val="21"/>
                <w:szCs w:val="21"/>
                <w:highlight w:val="none"/>
              </w:rPr>
            </w:pPr>
            <w:r>
              <w:rPr>
                <w:rFonts w:hint="eastAsia"/>
                <w:color w:val="auto"/>
                <w:sz w:val="21"/>
                <w:szCs w:val="21"/>
                <w:highlight w:val="none"/>
              </w:rPr>
              <w:t>包含机房装修，达到《工程施工质量验收规范》及行业相关标准、相关规范验收合格标准，同时应通过第三方检测机构的“工作场所放射防护检测”</w:t>
            </w:r>
            <w:r>
              <w:rPr>
                <w:rFonts w:hint="eastAsia"/>
                <w:color w:val="auto"/>
                <w:sz w:val="21"/>
                <w:szCs w:val="21"/>
                <w:highlight w:val="none"/>
                <w:lang w:val="en-US" w:eastAsia="zh-CN"/>
              </w:rPr>
              <w:t>的使用</w:t>
            </w:r>
            <w:r>
              <w:rPr>
                <w:rFonts w:hint="eastAsia"/>
                <w:color w:val="auto"/>
                <w:sz w:val="21"/>
                <w:szCs w:val="21"/>
                <w:highlight w:val="none"/>
              </w:rPr>
              <w:t>要求。</w:t>
            </w:r>
          </w:p>
          <w:p>
            <w:pPr>
              <w:keepNext/>
              <w:widowControl/>
              <w:adjustRightInd w:val="0"/>
              <w:snapToGrid w:val="0"/>
              <w:jc w:val="left"/>
              <w:rPr>
                <w:rFonts w:ascii="Arial" w:hAnsi="Arial" w:cs="Arial"/>
                <w:color w:val="auto"/>
                <w:kern w:val="0"/>
                <w:sz w:val="21"/>
                <w:szCs w:val="21"/>
                <w:highlight w:val="none"/>
              </w:rPr>
            </w:pPr>
          </w:p>
        </w:tc>
      </w:tr>
    </w:tbl>
    <w:p>
      <w:pPr>
        <w:rPr>
          <w:rFonts w:hint="eastAsia"/>
          <w:highlight w:val="none"/>
        </w:rPr>
      </w:pPr>
    </w:p>
    <w:p>
      <w:pPr>
        <w:rPr>
          <w:rFonts w:hint="eastAsia"/>
          <w:highlight w:val="none"/>
        </w:rPr>
      </w:pPr>
    </w:p>
    <w:p>
      <w:pPr>
        <w:rPr>
          <w:rFonts w:hint="eastAsia"/>
          <w:b/>
          <w:highlight w:val="none"/>
        </w:rPr>
      </w:pPr>
      <w:r>
        <w:rPr>
          <w:rFonts w:hint="eastAsia"/>
          <w:b/>
          <w:highlight w:val="none"/>
          <w:lang w:eastAsia="zh-CN"/>
        </w:rPr>
        <w:t>（</w:t>
      </w:r>
      <w:r>
        <w:rPr>
          <w:rFonts w:hint="eastAsia"/>
          <w:b/>
          <w:highlight w:val="none"/>
        </w:rPr>
        <w:t>二</w:t>
      </w:r>
      <w:r>
        <w:rPr>
          <w:rFonts w:hint="eastAsia"/>
          <w:b/>
          <w:highlight w:val="none"/>
          <w:lang w:eastAsia="zh-CN"/>
        </w:rPr>
        <w:t>）</w:t>
      </w:r>
      <w:r>
        <w:rPr>
          <w:rFonts w:hint="eastAsia"/>
          <w:b/>
          <w:highlight w:val="none"/>
        </w:rPr>
        <w:t>、大孔径模拟定位CT</w:t>
      </w:r>
    </w:p>
    <w:p>
      <w:pPr>
        <w:rPr>
          <w:rFonts w:hint="eastAsia"/>
          <w:b/>
          <w:bCs/>
          <w:color w:val="auto"/>
          <w:highlight w:val="none"/>
        </w:rPr>
      </w:pPr>
      <w:r>
        <w:rPr>
          <w:rFonts w:hint="eastAsia"/>
          <w:b/>
          <w:bCs/>
          <w:color w:val="auto"/>
          <w:highlight w:val="none"/>
        </w:rPr>
        <w:t>标“</w:t>
      </w:r>
      <w:r>
        <w:rPr>
          <w:rFonts w:hint="eastAsia" w:ascii="宋体" w:hAnsi="宋体" w:cs="宋体"/>
          <w:b/>
          <w:bCs/>
          <w:color w:val="auto"/>
          <w:szCs w:val="21"/>
          <w:highlight w:val="none"/>
        </w:rPr>
        <w:t>★</w:t>
      </w:r>
      <w:r>
        <w:rPr>
          <w:rFonts w:hint="eastAsia"/>
          <w:b/>
          <w:bCs/>
          <w:color w:val="auto"/>
          <w:highlight w:val="none"/>
        </w:rPr>
        <w:t>”</w:t>
      </w:r>
      <w:r>
        <w:rPr>
          <w:rFonts w:hint="eastAsia"/>
          <w:b/>
          <w:bCs/>
          <w:color w:val="auto"/>
          <w:highlight w:val="none"/>
          <w:lang w:val="en-US" w:eastAsia="zh-CN"/>
        </w:rPr>
        <w:t>与“</w:t>
      </w:r>
      <w:r>
        <w:rPr>
          <w:rFonts w:hint="eastAsia" w:asciiTheme="minorEastAsia" w:hAnsiTheme="minorEastAsia"/>
          <w:highlight w:val="none"/>
        </w:rPr>
        <w:t>▲</w:t>
      </w:r>
      <w:r>
        <w:rPr>
          <w:rFonts w:hint="eastAsia" w:asciiTheme="minorEastAsia" w:hAnsiTheme="minorEastAsia"/>
          <w:highlight w:val="none"/>
          <w:lang w:eastAsia="zh-CN"/>
        </w:rPr>
        <w:t>”</w:t>
      </w:r>
      <w:r>
        <w:rPr>
          <w:rFonts w:hint="eastAsia"/>
          <w:b/>
          <w:bCs/>
          <w:color w:val="auto"/>
          <w:highlight w:val="none"/>
        </w:rPr>
        <w:t>必须提供技术白皮书或彩页佐证</w:t>
      </w:r>
    </w:p>
    <w:tbl>
      <w:tblPr>
        <w:tblStyle w:val="8"/>
        <w:tblW w:w="8938" w:type="dxa"/>
        <w:tblInd w:w="0" w:type="dxa"/>
        <w:tblLayout w:type="autofit"/>
        <w:tblCellMar>
          <w:top w:w="0" w:type="dxa"/>
          <w:left w:w="108" w:type="dxa"/>
          <w:bottom w:w="0" w:type="dxa"/>
          <w:right w:w="108" w:type="dxa"/>
        </w:tblCellMar>
      </w:tblPr>
      <w:tblGrid>
        <w:gridCol w:w="959"/>
        <w:gridCol w:w="3544"/>
        <w:gridCol w:w="4435"/>
      </w:tblGrid>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jc w:val="center"/>
              <w:rPr>
                <w:rFonts w:ascii="Calibri" w:hAnsi="Calibri"/>
                <w:highlight w:val="none"/>
              </w:rPr>
            </w:pPr>
            <w:r>
              <w:rPr>
                <w:rFonts w:ascii="Calibri" w:hAnsi="Calibri"/>
                <w:highlight w:val="none"/>
              </w:rPr>
              <w:t>序号</w:t>
            </w:r>
          </w:p>
        </w:tc>
        <w:tc>
          <w:tcPr>
            <w:tcW w:w="3544" w:type="dxa"/>
            <w:tcBorders>
              <w:top w:val="single" w:color="auto" w:sz="6" w:space="0"/>
              <w:left w:val="single" w:color="auto" w:sz="6" w:space="0"/>
              <w:bottom w:val="single" w:color="auto" w:sz="6" w:space="0"/>
              <w:right w:val="single" w:color="auto" w:sz="6" w:space="0"/>
            </w:tcBorders>
          </w:tcPr>
          <w:p>
            <w:pPr>
              <w:jc w:val="center"/>
              <w:rPr>
                <w:rFonts w:ascii="Calibri" w:hAnsi="Calibri"/>
                <w:highlight w:val="none"/>
              </w:rPr>
            </w:pPr>
            <w:r>
              <w:rPr>
                <w:rFonts w:ascii="Calibri" w:hAnsi="Calibri"/>
                <w:highlight w:val="none"/>
              </w:rPr>
              <w:t>招标技术参数名称</w:t>
            </w:r>
          </w:p>
        </w:tc>
        <w:tc>
          <w:tcPr>
            <w:tcW w:w="4435" w:type="dxa"/>
            <w:tcBorders>
              <w:top w:val="single" w:color="auto" w:sz="6" w:space="0"/>
              <w:left w:val="single" w:color="auto" w:sz="6" w:space="0"/>
              <w:bottom w:val="single" w:color="auto" w:sz="6" w:space="0"/>
              <w:right w:val="single" w:color="auto" w:sz="6" w:space="0"/>
            </w:tcBorders>
          </w:tcPr>
          <w:p>
            <w:pPr>
              <w:jc w:val="center"/>
              <w:rPr>
                <w:rFonts w:ascii="Calibri" w:hAnsi="Calibri"/>
                <w:highlight w:val="none"/>
              </w:rPr>
            </w:pPr>
            <w:r>
              <w:rPr>
                <w:rFonts w:ascii="Calibri" w:hAnsi="Calibri"/>
                <w:highlight w:val="none"/>
              </w:rPr>
              <w:t>技术要求</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机架系统</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滑环类型</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低压滑环</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驱动方式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钢带驱动或磁悬浮线性马达</w:t>
            </w:r>
          </w:p>
        </w:tc>
      </w:tr>
      <w:tr>
        <w:tblPrEx>
          <w:tblCellMar>
            <w:top w:w="0" w:type="dxa"/>
            <w:left w:w="108" w:type="dxa"/>
            <w:bottom w:w="0" w:type="dxa"/>
            <w:right w:w="108" w:type="dxa"/>
          </w:tblCellMar>
        </w:tblPrEx>
        <w:trPr>
          <w:trHeight w:val="915"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冷却方式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风冷</w:t>
            </w:r>
            <w:r>
              <w:rPr>
                <w:rFonts w:hint="eastAsia" w:ascii="Calibri" w:hAnsi="Calibri"/>
                <w:highlight w:val="none"/>
              </w:rPr>
              <w:t>或</w:t>
            </w:r>
            <w:r>
              <w:rPr>
                <w:rFonts w:ascii="Calibri" w:hAnsi="Calibri"/>
                <w:highlight w:val="none"/>
              </w:rPr>
              <w:t>水冷</w:t>
            </w:r>
            <w:r>
              <w:rPr>
                <w:rFonts w:hint="eastAsia" w:ascii="Calibri" w:hAnsi="Calibri"/>
                <w:highlight w:val="none"/>
              </w:rPr>
              <w:t>（如果有水冷方案，必须提供水冷方案，并且需提供两套水冷机组，注明品牌、型号，并负责安装和调试）</w:t>
            </w:r>
            <w:r>
              <w:rPr>
                <w:rFonts w:ascii="Calibri" w:hAnsi="Calibri"/>
                <w:highlight w:val="none"/>
              </w:rPr>
              <w:t>。</w:t>
            </w:r>
          </w:p>
        </w:tc>
      </w:tr>
      <w:tr>
        <w:tblPrEx>
          <w:tblCellMar>
            <w:top w:w="0" w:type="dxa"/>
            <w:left w:w="108" w:type="dxa"/>
            <w:bottom w:w="0" w:type="dxa"/>
            <w:right w:w="108" w:type="dxa"/>
          </w:tblCellMar>
        </w:tblPrEx>
        <w:trPr>
          <w:trHeight w:val="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扫描方式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一次采集16层／360度</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宋体" w:hAnsi="宋体" w:cs="宋体"/>
                <w:szCs w:val="21"/>
                <w:highlight w:val="none"/>
              </w:rPr>
              <w:t>★</w:t>
            </w:r>
            <w:r>
              <w:rPr>
                <w:rFonts w:ascii="Calibri" w:hAnsi="Calibri"/>
                <w:highlight w:val="none"/>
              </w:rPr>
              <w:t>1.5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扫描架孔径</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≥80cm</w:t>
            </w:r>
          </w:p>
        </w:tc>
      </w:tr>
      <w:tr>
        <w:tblPrEx>
          <w:tblCellMar>
            <w:top w:w="0" w:type="dxa"/>
            <w:left w:w="108" w:type="dxa"/>
            <w:bottom w:w="0" w:type="dxa"/>
            <w:right w:w="108" w:type="dxa"/>
          </w:tblCellMar>
        </w:tblPrEx>
        <w:trPr>
          <w:trHeight w:val="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扫描架倾角</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w:t>
            </w:r>
            <w:bookmarkStart w:id="0" w:name="OLE_LINK4"/>
            <w:bookmarkStart w:id="1" w:name="OLE_LINK3"/>
            <w:r>
              <w:rPr>
                <w:rFonts w:ascii="Calibri" w:hAnsi="Calibri"/>
                <w:highlight w:val="none"/>
              </w:rPr>
              <w:t>30°</w:t>
            </w:r>
            <w:bookmarkEnd w:id="0"/>
            <w:bookmarkEnd w:id="1"/>
          </w:p>
        </w:tc>
      </w:tr>
      <w:tr>
        <w:tblPrEx>
          <w:tblCellMar>
            <w:top w:w="0" w:type="dxa"/>
            <w:left w:w="108" w:type="dxa"/>
            <w:bottom w:w="0" w:type="dxa"/>
            <w:right w:w="108" w:type="dxa"/>
          </w:tblCellMar>
        </w:tblPrEx>
        <w:trPr>
          <w:trHeight w:val="350" w:hRule="atLeast"/>
        </w:trPr>
        <w:tc>
          <w:tcPr>
            <w:tcW w:w="959" w:type="dxa"/>
            <w:tcBorders>
              <w:top w:val="single" w:color="auto" w:sz="6" w:space="0"/>
              <w:left w:val="single" w:color="auto" w:sz="6" w:space="0"/>
              <w:bottom w:val="single" w:color="auto" w:sz="6" w:space="0"/>
              <w:right w:val="single" w:color="auto" w:sz="6" w:space="0"/>
            </w:tcBorders>
          </w:tcPr>
          <w:p>
            <w:pPr>
              <w:pStyle w:val="4"/>
              <w:rPr>
                <w:rFonts w:ascii="Calibri" w:hAnsi="Calibri"/>
                <w:highlight w:val="none"/>
              </w:rPr>
            </w:pPr>
            <w:r>
              <w:rPr>
                <w:rFonts w:hint="eastAsia" w:asciiTheme="minorEastAsia" w:hAnsiTheme="minorEastAsia"/>
                <w:highlight w:val="none"/>
              </w:rPr>
              <w:t>▲</w:t>
            </w:r>
            <w:r>
              <w:rPr>
                <w:rFonts w:ascii="Calibri" w:hAnsi="Calibri"/>
                <w:highlight w:val="none"/>
              </w:rPr>
              <w:t>1.7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探测器在等中心线Z轴有效覆盖宽度</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≥20mm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探测器</w:t>
            </w:r>
            <w:r>
              <w:rPr>
                <w:rFonts w:hint="eastAsia" w:ascii="Calibri" w:hAnsi="Calibri"/>
                <w:highlight w:val="none"/>
              </w:rPr>
              <w:t>有效物理</w:t>
            </w:r>
            <w:r>
              <w:rPr>
                <w:rFonts w:ascii="Calibri" w:hAnsi="Calibri"/>
                <w:highlight w:val="none"/>
              </w:rPr>
              <w:t>排数</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≥24排</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宋体" w:hAnsi="宋体" w:cs="宋体"/>
                <w:szCs w:val="21"/>
                <w:highlight w:val="none"/>
              </w:rPr>
              <w:t>★</w:t>
            </w:r>
            <w:r>
              <w:rPr>
                <w:rFonts w:ascii="Calibri" w:hAnsi="Calibri"/>
                <w:highlight w:val="none"/>
              </w:rPr>
              <w:t>1.9</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每排探测器物理个数</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≥864个</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1.10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定位像方向</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前后/后前/侧位</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宋体" w:hAnsi="宋体" w:cs="宋体"/>
                <w:szCs w:val="21"/>
                <w:highlight w:val="none"/>
              </w:rPr>
              <w:t>★</w:t>
            </w:r>
            <w:r>
              <w:rPr>
                <w:rFonts w:ascii="Calibri" w:hAnsi="Calibri"/>
                <w:highlight w:val="none"/>
              </w:rPr>
              <w:t>1.11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最大单次连续螺旋时间</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≥120秒</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1.12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扫描时间</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≤0.5秒/360度（512X512距阵）</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宋体" w:hAnsi="宋体" w:cs="宋体"/>
                <w:szCs w:val="21"/>
                <w:highlight w:val="none"/>
              </w:rPr>
              <w:t>★</w:t>
            </w:r>
            <w:r>
              <w:rPr>
                <w:rFonts w:ascii="Calibri" w:hAnsi="Calibri"/>
                <w:highlight w:val="none"/>
              </w:rPr>
              <w:t>1.13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扫描层厚</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≤0.625mm</w:t>
            </w:r>
            <w:r>
              <w:rPr>
                <w:rFonts w:hint="eastAsia" w:ascii="Calibri" w:hAnsi="Calibri"/>
                <w:highlight w:val="none"/>
              </w:rPr>
              <w:t>（16层扫描模式）</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1.14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最大扫描视野</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≥50cm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1.15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最大显示视野</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w:t>
            </w:r>
            <w:r>
              <w:rPr>
                <w:rFonts w:hint="eastAsia" w:ascii="Calibri" w:hAnsi="Calibri"/>
                <w:highlight w:val="none"/>
              </w:rPr>
              <w:t>80</w:t>
            </w:r>
            <w:r>
              <w:rPr>
                <w:rFonts w:ascii="Calibri" w:hAnsi="Calibri"/>
                <w:highlight w:val="none"/>
              </w:rPr>
              <w:t>cm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1.16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机架上设有呼吸指示灯</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提供</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球管高压发生器</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球管阳极热容量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≥8.0M或≤1.0M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pStyle w:val="4"/>
              <w:rPr>
                <w:rFonts w:ascii="Calibri" w:hAnsi="Calibri"/>
                <w:highlight w:val="none"/>
              </w:rPr>
            </w:pPr>
            <w:r>
              <w:rPr>
                <w:rFonts w:hint="eastAsia" w:asciiTheme="minorEastAsia" w:hAnsiTheme="minorEastAsia"/>
                <w:highlight w:val="none"/>
              </w:rPr>
              <w:t>▲</w:t>
            </w:r>
            <w:r>
              <w:rPr>
                <w:rFonts w:ascii="Calibri" w:hAnsi="Calibri"/>
                <w:highlight w:val="none"/>
              </w:rPr>
              <w:t>2.2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最大阳极冷却率</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≥2000KHU/min</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最大管电流</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w:t>
            </w:r>
            <w:r>
              <w:rPr>
                <w:rFonts w:hint="eastAsia" w:ascii="Calibri" w:hAnsi="Calibri"/>
                <w:highlight w:val="none"/>
              </w:rPr>
              <w:t>8</w:t>
            </w:r>
            <w:r>
              <w:rPr>
                <w:rFonts w:ascii="Calibri" w:hAnsi="Calibri"/>
                <w:highlight w:val="none"/>
              </w:rPr>
              <w:t>00mA</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最小管电流</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≤10mA</w:t>
            </w:r>
          </w:p>
        </w:tc>
      </w:tr>
      <w:tr>
        <w:tblPrEx>
          <w:tblCellMar>
            <w:top w:w="0" w:type="dxa"/>
            <w:left w:w="108" w:type="dxa"/>
            <w:bottom w:w="0" w:type="dxa"/>
            <w:right w:w="108" w:type="dxa"/>
          </w:tblCellMar>
        </w:tblPrEx>
        <w:trPr>
          <w:trHeight w:val="2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最大管电压</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80KV、100KV、120KV、140KV 四档可变</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宋体" w:hAnsi="宋体" w:cs="宋体"/>
                <w:szCs w:val="21"/>
                <w:highlight w:val="none"/>
              </w:rPr>
              <w:t>★</w:t>
            </w:r>
            <w:r>
              <w:rPr>
                <w:rFonts w:ascii="Calibri" w:hAnsi="Calibri"/>
                <w:highlight w:val="none"/>
              </w:rPr>
              <w:t>2.6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高压发生器功率</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≥80KW</w:t>
            </w:r>
          </w:p>
        </w:tc>
      </w:tr>
      <w:tr>
        <w:tblPrEx>
          <w:tblCellMar>
            <w:top w:w="0" w:type="dxa"/>
            <w:left w:w="108" w:type="dxa"/>
            <w:bottom w:w="0" w:type="dxa"/>
            <w:right w:w="108" w:type="dxa"/>
          </w:tblCellMar>
        </w:tblPrEx>
        <w:trPr>
          <w:trHeight w:val="329"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小焦点大小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≤0.6×0.7mm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大焦点大小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≤0.9×0.9mm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扫描床系统</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可扫描范围</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≥160cm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床面定位精度</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≤±0.25mm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载重量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≥290 Kg</w:t>
            </w:r>
          </w:p>
        </w:tc>
      </w:tr>
      <w:tr>
        <w:tblPrEx>
          <w:tblCellMar>
            <w:top w:w="0" w:type="dxa"/>
            <w:left w:w="108" w:type="dxa"/>
            <w:bottom w:w="0" w:type="dxa"/>
            <w:right w:w="108" w:type="dxa"/>
          </w:tblCellMar>
        </w:tblPrEx>
        <w:trPr>
          <w:trHeight w:val="356"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放疗定位专用</w:t>
            </w:r>
            <w:r>
              <w:rPr>
                <w:rFonts w:hint="eastAsia" w:ascii="Calibri" w:hAnsi="Calibri"/>
                <w:highlight w:val="none"/>
              </w:rPr>
              <w:t>碳素纤维</w:t>
            </w:r>
            <w:r>
              <w:rPr>
                <w:rFonts w:ascii="Calibri" w:hAnsi="Calibri"/>
                <w:highlight w:val="none"/>
              </w:rPr>
              <w:t>平面床板</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提供</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图像质量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366"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4.1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空间分辨率（条件：X-Y轴0%MTF）</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≥17 lp/cm</w:t>
            </w:r>
          </w:p>
        </w:tc>
      </w:tr>
      <w:tr>
        <w:tblPrEx>
          <w:tblCellMar>
            <w:top w:w="0" w:type="dxa"/>
            <w:left w:w="108" w:type="dxa"/>
            <w:bottom w:w="0" w:type="dxa"/>
            <w:right w:w="108" w:type="dxa"/>
          </w:tblCellMar>
        </w:tblPrEx>
        <w:trPr>
          <w:trHeight w:val="271"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4.2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低密度分辨率</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5mm@0.3%≤1</w:t>
            </w:r>
            <w:r>
              <w:rPr>
                <w:rFonts w:hint="eastAsia" w:ascii="Calibri" w:hAnsi="Calibri"/>
                <w:highlight w:val="none"/>
              </w:rPr>
              <w:t>3.3</w:t>
            </w:r>
            <w:r>
              <w:rPr>
                <w:rFonts w:ascii="Calibri" w:hAnsi="Calibri"/>
                <w:highlight w:val="none"/>
              </w:rPr>
              <w:t>mGy 20cm CATPHAN phantom</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4.3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CT值范围</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-31743~ +31743Hu</w:t>
            </w:r>
          </w:p>
        </w:tc>
      </w:tr>
      <w:tr>
        <w:tblPrEx>
          <w:tblCellMar>
            <w:top w:w="0" w:type="dxa"/>
            <w:left w:w="108" w:type="dxa"/>
            <w:bottom w:w="0" w:type="dxa"/>
            <w:right w:w="108" w:type="dxa"/>
          </w:tblCellMar>
        </w:tblPrEx>
        <w:trPr>
          <w:trHeight w:val="608"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4.4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微辐射影像重建算法</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GE提供ASIR，Philips提供iDose4， Siemens提供Safire, Toshiba提供AIDR 3D</w:t>
            </w:r>
          </w:p>
        </w:tc>
      </w:tr>
      <w:tr>
        <w:tblPrEx>
          <w:tblCellMar>
            <w:top w:w="0" w:type="dxa"/>
            <w:left w:w="108" w:type="dxa"/>
            <w:bottom w:w="0" w:type="dxa"/>
            <w:right w:w="108" w:type="dxa"/>
          </w:tblCellMar>
        </w:tblPrEx>
        <w:trPr>
          <w:trHeight w:val="69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4.5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专门的智能金属去伪影软件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GE提供Smart-MAR，Philips提供O-MAR，</w:t>
            </w:r>
            <w:r>
              <w:rPr>
                <w:rFonts w:ascii="Calibri" w:hAnsi="Calibri"/>
                <w:highlight w:val="none"/>
              </w:rPr>
              <w:t>Siemens提供</w:t>
            </w:r>
            <w:r>
              <w:rPr>
                <w:rFonts w:hint="eastAsia" w:ascii="Calibri" w:hAnsi="Calibri"/>
                <w:highlight w:val="none"/>
              </w:rPr>
              <w:t>iMAR</w:t>
            </w:r>
            <w:r>
              <w:rPr>
                <w:rFonts w:ascii="Calibri" w:hAnsi="Calibri"/>
                <w:highlight w:val="none"/>
              </w:rPr>
              <w:t>, Toshiba提供SEMAR</w:t>
            </w:r>
          </w:p>
        </w:tc>
      </w:tr>
      <w:tr>
        <w:tblPrEx>
          <w:tblCellMar>
            <w:top w:w="0" w:type="dxa"/>
            <w:left w:w="108" w:type="dxa"/>
            <w:bottom w:w="0" w:type="dxa"/>
            <w:right w:w="108" w:type="dxa"/>
          </w:tblCellMar>
        </w:tblPrEx>
        <w:trPr>
          <w:trHeight w:val="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主操作台</w:t>
            </w:r>
            <w:r>
              <w:rPr>
                <w:rFonts w:ascii="Calibri" w:hAnsi="Calibri"/>
                <w:highlight w:val="none"/>
              </w:rPr>
              <w:t>计算机系统</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主频</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≥2×2 GHz</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硬盘</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≥1T</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内存</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≥12G</w:t>
            </w:r>
          </w:p>
        </w:tc>
      </w:tr>
      <w:tr>
        <w:tblPrEx>
          <w:tblCellMar>
            <w:top w:w="0" w:type="dxa"/>
            <w:left w:w="108" w:type="dxa"/>
            <w:bottom w:w="0" w:type="dxa"/>
            <w:right w:w="108" w:type="dxa"/>
          </w:tblCellMar>
        </w:tblPrEx>
        <w:trPr>
          <w:trHeight w:val="382"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硬盘存储量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≥250，000幅512×512不压缩图像</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显示</w:t>
            </w:r>
            <w:r>
              <w:rPr>
                <w:rFonts w:ascii="Calibri" w:hAnsi="Calibri"/>
                <w:highlight w:val="none"/>
              </w:rPr>
              <w:t>距阵</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≥1024×1024</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重建时间 (512x512)</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≥16幅/秒</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高分辨率彩色显示器2台</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≥19’LCD</w:t>
            </w:r>
          </w:p>
        </w:tc>
      </w:tr>
      <w:tr>
        <w:tblPrEx>
          <w:tblCellMar>
            <w:top w:w="0" w:type="dxa"/>
            <w:left w:w="108" w:type="dxa"/>
            <w:bottom w:w="0" w:type="dxa"/>
            <w:right w:w="108" w:type="dxa"/>
          </w:tblCellMar>
        </w:tblPrEx>
        <w:trPr>
          <w:trHeight w:val="58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5.8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在主操作台上独立完成3D、MPR、CTA等所有应用功能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提供</w:t>
            </w:r>
          </w:p>
        </w:tc>
      </w:tr>
      <w:tr>
        <w:tblPrEx>
          <w:tblCellMar>
            <w:top w:w="0" w:type="dxa"/>
            <w:left w:w="108" w:type="dxa"/>
            <w:bottom w:w="0" w:type="dxa"/>
            <w:right w:w="108" w:type="dxa"/>
          </w:tblCellMar>
        </w:tblPrEx>
        <w:trPr>
          <w:trHeight w:val="921" w:hRule="atLeast"/>
        </w:trPr>
        <w:tc>
          <w:tcPr>
            <w:tcW w:w="959" w:type="dxa"/>
            <w:tcBorders>
              <w:top w:val="single" w:color="auto" w:sz="6" w:space="0"/>
              <w:left w:val="single" w:color="auto" w:sz="6" w:space="0"/>
              <w:bottom w:val="single" w:color="auto" w:sz="6" w:space="0"/>
              <w:right w:val="single" w:color="auto" w:sz="6" w:space="0"/>
            </w:tcBorders>
          </w:tcPr>
          <w:p>
            <w:pPr>
              <w:pStyle w:val="4"/>
              <w:rPr>
                <w:rFonts w:ascii="Calibri" w:hAnsi="Calibri"/>
                <w:highlight w:val="none"/>
              </w:rPr>
            </w:pPr>
            <w:r>
              <w:rPr>
                <w:rFonts w:hint="eastAsia" w:asciiTheme="minorEastAsia" w:hAnsiTheme="minorEastAsia"/>
                <w:highlight w:val="none"/>
              </w:rPr>
              <w:t>▲</w:t>
            </w:r>
            <w:r>
              <w:rPr>
                <w:rFonts w:ascii="Calibri" w:hAnsi="Calibri"/>
                <w:highlight w:val="none"/>
              </w:rPr>
              <w:t>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原厂</w:t>
            </w:r>
            <w:r>
              <w:rPr>
                <w:rFonts w:hint="eastAsia" w:ascii="Calibri" w:hAnsi="Calibri"/>
                <w:highlight w:val="none"/>
              </w:rPr>
              <w:t>医生</w:t>
            </w:r>
            <w:r>
              <w:rPr>
                <w:rFonts w:ascii="Calibri" w:hAnsi="Calibri"/>
                <w:highlight w:val="none"/>
              </w:rPr>
              <w:t>独立图像后处理工作站1套</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GE提供：AW工作站; Philips提供：</w:t>
            </w:r>
          </w:p>
          <w:p>
            <w:pPr>
              <w:rPr>
                <w:rFonts w:ascii="Calibri" w:hAnsi="Calibri"/>
                <w:highlight w:val="none"/>
              </w:rPr>
            </w:pPr>
            <w:r>
              <w:rPr>
                <w:rFonts w:ascii="Calibri" w:hAnsi="Calibri"/>
                <w:highlight w:val="none"/>
              </w:rPr>
              <w:t>IntelliSpace工作站; Siemens提供：Syngo工作站;  Toshiba提供Vitrea工作站</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6.1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计算机主频</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w:t>
            </w:r>
            <w:r>
              <w:rPr>
                <w:rFonts w:hint="eastAsia" w:ascii="Calibri" w:hAnsi="Calibri"/>
                <w:highlight w:val="none"/>
              </w:rPr>
              <w:t>4</w:t>
            </w:r>
            <w:r>
              <w:rPr>
                <w:rFonts w:ascii="Calibri" w:hAnsi="Calibri"/>
                <w:highlight w:val="none"/>
              </w:rPr>
              <w:t>×</w:t>
            </w:r>
            <w:r>
              <w:rPr>
                <w:rFonts w:hint="eastAsia" w:ascii="Calibri" w:hAnsi="Calibri"/>
                <w:highlight w:val="none"/>
              </w:rPr>
              <w:t>3</w:t>
            </w:r>
            <w:r>
              <w:rPr>
                <w:rFonts w:ascii="Calibri" w:hAnsi="Calibri"/>
                <w:highlight w:val="none"/>
              </w:rPr>
              <w:t>GHz</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6.2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硬盘</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w:t>
            </w:r>
            <w:r>
              <w:rPr>
                <w:rFonts w:hint="eastAsia" w:ascii="Calibri" w:hAnsi="Calibri"/>
                <w:highlight w:val="none"/>
              </w:rPr>
              <w:t>1T</w:t>
            </w:r>
            <w:r>
              <w:rPr>
                <w:rFonts w:ascii="Calibri" w:hAnsi="Calibri"/>
                <w:highlight w:val="none"/>
              </w:rPr>
              <w:t>B</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6.3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内存</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w:t>
            </w:r>
            <w:r>
              <w:rPr>
                <w:rFonts w:hint="eastAsia" w:ascii="Calibri" w:hAnsi="Calibri"/>
                <w:highlight w:val="none"/>
              </w:rPr>
              <w:t>32</w:t>
            </w:r>
            <w:r>
              <w:rPr>
                <w:rFonts w:ascii="Calibri" w:hAnsi="Calibri"/>
                <w:highlight w:val="none"/>
              </w:rPr>
              <w:t>GB</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6.4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高分辨率彩色双屏视野显示</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≥19英寸 液晶显示器，2台</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6.5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容积重建技术</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提供</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6.6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内窥镜功能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提供</w:t>
            </w:r>
          </w:p>
        </w:tc>
      </w:tr>
      <w:tr>
        <w:tblPrEx>
          <w:tblCellMar>
            <w:top w:w="0" w:type="dxa"/>
            <w:left w:w="108" w:type="dxa"/>
            <w:bottom w:w="0" w:type="dxa"/>
            <w:right w:w="108" w:type="dxa"/>
          </w:tblCellMar>
        </w:tblPrEx>
        <w:trPr>
          <w:trHeight w:val="976"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 xml:space="preserve">CT </w:t>
            </w:r>
            <w:r>
              <w:rPr>
                <w:rFonts w:hint="eastAsia" w:ascii="Calibri" w:hAnsi="Calibri"/>
                <w:highlight w:val="none"/>
              </w:rPr>
              <w:t>s</w:t>
            </w:r>
            <w:r>
              <w:rPr>
                <w:rFonts w:ascii="Calibri" w:hAnsi="Calibri"/>
                <w:highlight w:val="none"/>
              </w:rPr>
              <w:t>im三维肿瘤模拟定位软件包</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 xml:space="preserve">CT </w:t>
            </w:r>
            <w:r>
              <w:rPr>
                <w:rFonts w:hint="eastAsia" w:ascii="Calibri" w:hAnsi="Calibri"/>
                <w:highlight w:val="none"/>
              </w:rPr>
              <w:t>s</w:t>
            </w:r>
            <w:r>
              <w:rPr>
                <w:rFonts w:ascii="Calibri" w:hAnsi="Calibri"/>
                <w:highlight w:val="none"/>
              </w:rPr>
              <w:t>im软件必须由同品牌CT厂家研发设计，必须可以安装在CT独立</w:t>
            </w:r>
            <w:r>
              <w:rPr>
                <w:rFonts w:hint="eastAsia" w:ascii="Calibri" w:hAnsi="Calibri"/>
                <w:highlight w:val="none"/>
              </w:rPr>
              <w:t>后处理</w:t>
            </w:r>
            <w:r>
              <w:rPr>
                <w:rFonts w:ascii="Calibri" w:hAnsi="Calibri"/>
                <w:highlight w:val="none"/>
              </w:rPr>
              <w:t>工作站上，使之成为独立可用的CT模拟定位工作站。</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靶区定义和轮廓勾画功能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自动轮廓勾画</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7.1.2</w:t>
            </w:r>
          </w:p>
        </w:tc>
        <w:tc>
          <w:tcPr>
            <w:tcW w:w="3544" w:type="dxa"/>
            <w:tcBorders>
              <w:top w:val="single" w:color="auto" w:sz="6"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多种手动轮廓勾画和修改工具</w:t>
            </w:r>
          </w:p>
        </w:tc>
        <w:tc>
          <w:tcPr>
            <w:tcW w:w="4435" w:type="dxa"/>
            <w:tcBorders>
              <w:top w:val="single" w:color="auto" w:sz="6"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571" w:hRule="atLeast"/>
        </w:trPr>
        <w:tc>
          <w:tcPr>
            <w:tcW w:w="959" w:type="dxa"/>
            <w:tcBorders>
              <w:top w:val="single" w:color="auto" w:sz="4" w:space="0"/>
              <w:left w:val="single" w:color="auto" w:sz="4" w:space="0"/>
              <w:bottom w:val="single" w:color="auto" w:sz="4" w:space="0"/>
              <w:right w:val="single" w:color="auto" w:sz="6" w:space="0"/>
            </w:tcBorders>
          </w:tcPr>
          <w:p>
            <w:pPr>
              <w:rPr>
                <w:rFonts w:ascii="Calibri" w:hAnsi="Calibri"/>
                <w:highlight w:val="none"/>
              </w:rPr>
            </w:pPr>
            <w:r>
              <w:rPr>
                <w:rFonts w:ascii="Calibri" w:hAnsi="Calibri"/>
                <w:highlight w:val="none"/>
              </w:rPr>
              <w:t>7.1.3</w:t>
            </w:r>
          </w:p>
        </w:tc>
        <w:tc>
          <w:tcPr>
            <w:tcW w:w="3544" w:type="dxa"/>
            <w:tcBorders>
              <w:top w:val="single" w:color="auto" w:sz="4"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点对点的自动密度梯度跟踪方法轮廓勾画</w:t>
            </w:r>
          </w:p>
        </w:tc>
        <w:tc>
          <w:tcPr>
            <w:tcW w:w="4435" w:type="dxa"/>
            <w:tcBorders>
              <w:top w:val="single" w:color="auto" w:sz="4"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 xml:space="preserve">具备 </w:t>
            </w:r>
          </w:p>
        </w:tc>
      </w:tr>
      <w:tr>
        <w:tblPrEx>
          <w:tblCellMar>
            <w:top w:w="0" w:type="dxa"/>
            <w:left w:w="108" w:type="dxa"/>
            <w:bottom w:w="0" w:type="dxa"/>
            <w:right w:w="108" w:type="dxa"/>
          </w:tblCellMar>
        </w:tblPrEx>
        <w:trPr>
          <w:trHeight w:val="298" w:hRule="atLeast"/>
        </w:trPr>
        <w:tc>
          <w:tcPr>
            <w:tcW w:w="959" w:type="dxa"/>
            <w:tcBorders>
              <w:top w:val="single" w:color="auto" w:sz="4" w:space="0"/>
              <w:left w:val="single" w:color="auto" w:sz="4" w:space="0"/>
              <w:bottom w:val="single" w:color="auto" w:sz="4" w:space="0"/>
              <w:right w:val="single" w:color="auto" w:sz="6" w:space="0"/>
            </w:tcBorders>
          </w:tcPr>
          <w:p>
            <w:pPr>
              <w:rPr>
                <w:rFonts w:ascii="Calibri" w:hAnsi="Calibri"/>
                <w:highlight w:val="none"/>
              </w:rPr>
            </w:pPr>
            <w:r>
              <w:rPr>
                <w:rFonts w:ascii="Calibri" w:hAnsi="Calibri"/>
                <w:highlight w:val="none"/>
              </w:rPr>
              <w:t>7.1.4</w:t>
            </w:r>
          </w:p>
        </w:tc>
        <w:tc>
          <w:tcPr>
            <w:tcW w:w="3544" w:type="dxa"/>
            <w:tcBorders>
              <w:top w:val="single" w:color="auto" w:sz="4"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层与层之间拷贝轮廓</w:t>
            </w:r>
          </w:p>
        </w:tc>
        <w:tc>
          <w:tcPr>
            <w:tcW w:w="4435" w:type="dxa"/>
            <w:tcBorders>
              <w:top w:val="single" w:color="auto" w:sz="4"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28" w:hRule="atLeast"/>
        </w:trPr>
        <w:tc>
          <w:tcPr>
            <w:tcW w:w="959" w:type="dxa"/>
            <w:tcBorders>
              <w:top w:val="single" w:color="auto" w:sz="4"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w:t>
            </w:r>
            <w:r>
              <w:rPr>
                <w:rFonts w:hint="eastAsia" w:ascii="Calibri" w:hAnsi="Calibri"/>
                <w:highlight w:val="none"/>
              </w:rPr>
              <w:t>5</w:t>
            </w:r>
          </w:p>
        </w:tc>
        <w:tc>
          <w:tcPr>
            <w:tcW w:w="3544" w:type="dxa"/>
            <w:tcBorders>
              <w:top w:val="single" w:color="auto" w:sz="4"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对称和非对称三维Margin自动增加</w:t>
            </w:r>
          </w:p>
        </w:tc>
        <w:tc>
          <w:tcPr>
            <w:tcW w:w="4435" w:type="dxa"/>
            <w:tcBorders>
              <w:top w:val="single" w:color="auto" w:sz="4"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r>
              <w:rPr>
                <w:rFonts w:hint="eastAsia" w:asciiTheme="minorEastAsia" w:hAnsiTheme="minorEastAsia"/>
                <w:highlight w:val="none"/>
              </w:rPr>
              <w:t>≥</w:t>
            </w:r>
            <w:r>
              <w:rPr>
                <w:rFonts w:ascii="Calibri" w:hAnsi="Calibri"/>
                <w:highlight w:val="none"/>
              </w:rPr>
              <w:t>3个方向6个自由度Margin增加功能</w:t>
            </w:r>
          </w:p>
        </w:tc>
      </w:tr>
      <w:tr>
        <w:tblPrEx>
          <w:tblCellMar>
            <w:top w:w="0" w:type="dxa"/>
            <w:left w:w="108" w:type="dxa"/>
            <w:bottom w:w="0" w:type="dxa"/>
            <w:right w:w="108" w:type="dxa"/>
          </w:tblCellMar>
        </w:tblPrEx>
        <w:trPr>
          <w:trHeight w:val="541"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w:t>
            </w:r>
            <w:r>
              <w:rPr>
                <w:rFonts w:hint="eastAsia" w:ascii="Calibri" w:hAnsi="Calibri"/>
                <w:highlight w:val="none"/>
              </w:rPr>
              <w:t>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针对CT不同部位的</w:t>
            </w:r>
            <w:r>
              <w:rPr>
                <w:rFonts w:ascii="Calibri" w:hAnsi="Calibri"/>
                <w:highlight w:val="none"/>
              </w:rPr>
              <w:t>多</w:t>
            </w:r>
            <w:r>
              <w:rPr>
                <w:rFonts w:hint="eastAsia" w:ascii="Calibri" w:hAnsi="Calibri"/>
                <w:highlight w:val="none"/>
              </w:rPr>
              <w:t>种器官，可进行Atlas</w:t>
            </w:r>
            <w:r>
              <w:rPr>
                <w:rFonts w:ascii="Calibri" w:hAnsi="Calibri"/>
                <w:highlight w:val="none"/>
              </w:rPr>
              <w:t>器官</w:t>
            </w:r>
            <w:r>
              <w:rPr>
                <w:rFonts w:hint="eastAsia" w:ascii="Calibri" w:hAnsi="Calibri"/>
                <w:highlight w:val="none"/>
              </w:rPr>
              <w:t>的全</w:t>
            </w:r>
            <w:r>
              <w:rPr>
                <w:rFonts w:ascii="Calibri" w:hAnsi="Calibri"/>
                <w:highlight w:val="none"/>
              </w:rPr>
              <w:t>自动勾画</w:t>
            </w:r>
            <w:r>
              <w:rPr>
                <w:rFonts w:hint="eastAsia" w:ascii="Calibri" w:hAnsi="Calibri"/>
                <w:highlight w:val="none"/>
              </w:rPr>
              <w:t xml:space="preserve"> </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268"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w:t>
            </w:r>
            <w:r>
              <w:rPr>
                <w:rFonts w:hint="eastAsia" w:ascii="Calibri" w:hAnsi="Calibri"/>
                <w:highlight w:val="none"/>
              </w:rPr>
              <w:t>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能够进行多种器官同时全自动勾画</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w:t>
            </w:r>
            <w:r>
              <w:rPr>
                <w:rFonts w:hint="eastAsia" w:ascii="Calibri" w:hAnsi="Calibri"/>
                <w:highlight w:val="none"/>
              </w:rPr>
              <w:t>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多期相图像靶区勾画</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7.1.</w:t>
            </w:r>
            <w:r>
              <w:rPr>
                <w:rFonts w:hint="eastAsia" w:ascii="Calibri" w:hAnsi="Calibri"/>
                <w:highlight w:val="none"/>
              </w:rPr>
              <w:t>9</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CT/CT</w:t>
            </w:r>
            <w:r>
              <w:rPr>
                <w:rFonts w:ascii="Calibri" w:hAnsi="Calibri"/>
                <w:highlight w:val="none"/>
              </w:rPr>
              <w:t>图像</w:t>
            </w:r>
            <w:r>
              <w:rPr>
                <w:rFonts w:hint="eastAsia" w:ascii="Calibri" w:hAnsi="Calibri"/>
                <w:highlight w:val="none"/>
              </w:rPr>
              <w:t>自动</w:t>
            </w:r>
            <w:r>
              <w:rPr>
                <w:rFonts w:ascii="Calibri" w:hAnsi="Calibri"/>
                <w:highlight w:val="none"/>
              </w:rPr>
              <w:t>融合</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7.1.10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CT/MR</w:t>
            </w:r>
            <w:r>
              <w:rPr>
                <w:rFonts w:ascii="Calibri" w:hAnsi="Calibri"/>
                <w:highlight w:val="none"/>
              </w:rPr>
              <w:t>图像</w:t>
            </w:r>
            <w:r>
              <w:rPr>
                <w:rFonts w:hint="eastAsia" w:ascii="Calibri" w:hAnsi="Calibri"/>
                <w:highlight w:val="none"/>
              </w:rPr>
              <w:t>自动</w:t>
            </w:r>
            <w:r>
              <w:rPr>
                <w:rFonts w:ascii="Calibri" w:hAnsi="Calibri"/>
                <w:highlight w:val="none"/>
              </w:rPr>
              <w:t>融合</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7.1.11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CT/PET</w:t>
            </w:r>
            <w:r>
              <w:rPr>
                <w:rFonts w:ascii="Calibri" w:hAnsi="Calibri"/>
                <w:highlight w:val="none"/>
              </w:rPr>
              <w:t>图像</w:t>
            </w:r>
            <w:r>
              <w:rPr>
                <w:rFonts w:hint="eastAsia" w:ascii="Calibri" w:hAnsi="Calibri"/>
                <w:highlight w:val="none"/>
              </w:rPr>
              <w:t>自动</w:t>
            </w:r>
            <w:r>
              <w:rPr>
                <w:rFonts w:ascii="Calibri" w:hAnsi="Calibri"/>
                <w:highlight w:val="none"/>
              </w:rPr>
              <w:t>融合</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w:t>
            </w:r>
            <w:r>
              <w:rPr>
                <w:rFonts w:hint="eastAsia" w:ascii="Calibri" w:hAnsi="Calibri"/>
                <w:highlight w:val="none"/>
              </w:rPr>
              <w:t>.</w:t>
            </w:r>
            <w:r>
              <w:rPr>
                <w:rFonts w:ascii="Calibri" w:hAnsi="Calibri"/>
                <w:highlight w:val="none"/>
              </w:rPr>
              <w:t>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设置照射野</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自动、手动设计照射野</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58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可任意调整设置准直器、床和机架的旋转角度</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269"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可根据靶区形状产生适形照射野</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拷贝对穿野</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自动在照射野角部设置标记</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自动识别器官几何等中心</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手动设置等中心</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自动设计挡铅和MLC</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7.2.9</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手动设计挡铅和MLC</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24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7.2.10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最多支持200叶不等宽叶片多叶光栅</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 xml:space="preserve">具备 </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w:t>
            </w:r>
            <w:r>
              <w:rPr>
                <w:rFonts w:hint="eastAsia" w:ascii="Calibri" w:hAnsi="Calibri"/>
                <w:highlight w:val="none"/>
              </w:rPr>
              <w:t>.</w:t>
            </w:r>
            <w:r>
              <w:rPr>
                <w:rFonts w:ascii="Calibri" w:hAnsi="Calibri"/>
                <w:highlight w:val="none"/>
              </w:rPr>
              <w:t>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数字重建图像（DRR）</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1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BEV模式显示</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可在任意角度产生DRR图像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DRR重建速度：≤0.6秒</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1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等中心移动时自动重新计算DRR</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可产生不同组织的DRR图像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可产生任意深度的DRR图像</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可将两幅DRR图像融合叠加</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7.3.8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DRR参数预设</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23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CT Sim工作站的网络连接与传输</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7.4.1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DICOM RT协议</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提供</w:t>
            </w:r>
          </w:p>
        </w:tc>
      </w:tr>
      <w:tr>
        <w:tblPrEx>
          <w:tblCellMar>
            <w:top w:w="0" w:type="dxa"/>
            <w:left w:w="108" w:type="dxa"/>
            <w:bottom w:w="0" w:type="dxa"/>
            <w:right w:w="108" w:type="dxa"/>
          </w:tblCellMar>
        </w:tblPrEx>
        <w:trPr>
          <w:trHeight w:val="58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7.4.2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可与激光灯连接,传输等中心坐标到激光灯工作站</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66"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7.4.3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可与满足DICOM RT协议的TPS相连</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7.4.4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可与激光相机相连</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其他应用软件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MPR</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CTA</w:t>
            </w:r>
            <w:r>
              <w:rPr>
                <w:rFonts w:hint="eastAsia" w:ascii="Calibri" w:hAnsi="Calibri"/>
                <w:highlight w:val="none"/>
              </w:rPr>
              <w:t>血管造影</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动态CTE(包括内外)</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VR</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容积漫游</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薄层图像再重建技术</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CT电影</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仿真内窥镜</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8.9</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3D软件包</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最大密度投影MaxIP</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最小密度投影MinIP</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表面三维显示SSD</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表面3D透明技术</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智能毫安</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模拟手术刀</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多平面体积投影MPVR</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造影剂跟踪软件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条状伪影消除软件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8.19</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后脑窝伪影校正软件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螺旋扫描降噪软件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肺纹理增加软件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运动伪影矫正软件</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r>
              <w:rPr>
                <w:rFonts w:hint="eastAsia" w:ascii="Calibri" w:hAnsi="Calibri"/>
                <w:highlight w:val="none"/>
              </w:rPr>
              <w:t>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CT灌注功能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 xml:space="preserve">具备 </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r>
              <w:rPr>
                <w:rFonts w:hint="eastAsia" w:ascii="Calibri" w:hAnsi="Calibri"/>
                <w:highlight w:val="none"/>
              </w:rPr>
              <w:t>4</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脑灌注</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r>
              <w:rPr>
                <w:rFonts w:hint="eastAsia" w:ascii="Calibri" w:hAnsi="Calibri"/>
                <w:highlight w:val="none"/>
              </w:rPr>
              <w:t>5</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肿瘤灌注</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r>
              <w:rPr>
                <w:rFonts w:hint="eastAsia" w:ascii="Calibri" w:hAnsi="Calibri"/>
                <w:highlight w:val="none"/>
              </w:rPr>
              <w:t>6</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肿瘤PS图分析功能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r>
              <w:rPr>
                <w:rFonts w:hint="eastAsia" w:ascii="Calibri" w:hAnsi="Calibri"/>
                <w:highlight w:val="none"/>
              </w:rPr>
              <w:t>7</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体部灌注</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 xml:space="preserve">具备 </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8.2</w:t>
            </w:r>
            <w:r>
              <w:rPr>
                <w:rFonts w:hint="eastAsia" w:ascii="Calibri" w:hAnsi="Calibri"/>
                <w:highlight w:val="none"/>
              </w:rPr>
              <w:t>8</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专用肝脏灌注</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w:t>
            </w:r>
            <w:r>
              <w:rPr>
                <w:rFonts w:hint="eastAsia" w:ascii="Calibri" w:hAnsi="Calibri"/>
                <w:highlight w:val="none"/>
              </w:rPr>
              <w:t>29</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HAF肝动脉指数</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61"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8.3</w:t>
            </w:r>
            <w:r>
              <w:rPr>
                <w:rFonts w:hint="eastAsia" w:ascii="Calibri" w:hAnsi="Calibri"/>
                <w:highlight w:val="none"/>
              </w:rPr>
              <w:t>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自动语音系统及双向语音传输</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8.3</w:t>
            </w:r>
            <w:r>
              <w:rPr>
                <w:rFonts w:hint="eastAsia" w:ascii="Calibri" w:hAnsi="Calibri"/>
                <w:highlight w:val="none"/>
              </w:rPr>
              <w:t>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 xml:space="preserve">网络接口功能DICOM3.0 </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具备</w:t>
            </w:r>
            <w:r>
              <w:rPr>
                <w:rFonts w:ascii="Calibri" w:hAnsi="Calibri"/>
                <w:highlight w:val="none"/>
              </w:rPr>
              <w:t xml:space="preserve"> </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8.3</w:t>
            </w:r>
            <w:r>
              <w:rPr>
                <w:rFonts w:hint="eastAsia" w:ascii="Calibri" w:hAnsi="Calibri"/>
                <w:highlight w:val="none"/>
              </w:rPr>
              <w:t>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远程维修诊断功能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304"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8.3</w:t>
            </w:r>
            <w:r>
              <w:rPr>
                <w:rFonts w:hint="eastAsia" w:ascii="Calibri" w:hAnsi="Calibri"/>
                <w:highlight w:val="none"/>
              </w:rPr>
              <w:t>3</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激光相机DICOM接口功能</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具备</w:t>
            </w:r>
          </w:p>
        </w:tc>
      </w:tr>
      <w:tr>
        <w:tblPrEx>
          <w:tblCellMar>
            <w:top w:w="0" w:type="dxa"/>
            <w:left w:w="108" w:type="dxa"/>
            <w:bottom w:w="0" w:type="dxa"/>
            <w:right w:w="108" w:type="dxa"/>
          </w:tblCellMar>
        </w:tblPrEx>
        <w:trPr>
          <w:trHeight w:val="1260" w:hRule="atLeast"/>
        </w:trPr>
        <w:tc>
          <w:tcPr>
            <w:tcW w:w="959" w:type="dxa"/>
            <w:tcBorders>
              <w:top w:val="single" w:color="auto" w:sz="6"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9</w:t>
            </w:r>
          </w:p>
        </w:tc>
        <w:tc>
          <w:tcPr>
            <w:tcW w:w="3544" w:type="dxa"/>
            <w:tcBorders>
              <w:top w:val="single" w:color="auto" w:sz="6" w:space="0"/>
              <w:left w:val="single" w:color="auto" w:sz="6" w:space="0"/>
              <w:bottom w:val="single" w:color="auto" w:sz="4" w:space="0"/>
              <w:right w:val="single" w:color="auto" w:sz="6" w:space="0"/>
            </w:tcBorders>
          </w:tcPr>
          <w:p>
            <w:pPr>
              <w:rPr>
                <w:rFonts w:ascii="Calibri" w:hAnsi="Calibri"/>
                <w:highlight w:val="none"/>
              </w:rPr>
            </w:pPr>
            <w:r>
              <w:rPr>
                <w:rFonts w:ascii="Calibri" w:hAnsi="Calibri"/>
                <w:highlight w:val="none"/>
              </w:rPr>
              <w:t>无</w:t>
            </w:r>
            <w:r>
              <w:rPr>
                <w:rFonts w:hint="eastAsia" w:ascii="Calibri" w:hAnsi="Calibri"/>
                <w:highlight w:val="none"/>
              </w:rPr>
              <w:t>需</w:t>
            </w:r>
            <w:r>
              <w:rPr>
                <w:rFonts w:ascii="Calibri" w:hAnsi="Calibri"/>
                <w:highlight w:val="none"/>
              </w:rPr>
              <w:t>外接附件的呼吸门控系统</w:t>
            </w:r>
          </w:p>
        </w:tc>
        <w:tc>
          <w:tcPr>
            <w:tcW w:w="4435" w:type="dxa"/>
            <w:tcBorders>
              <w:top w:val="single" w:color="auto" w:sz="6" w:space="0"/>
              <w:left w:val="single" w:color="auto" w:sz="6" w:space="0"/>
              <w:bottom w:val="single" w:color="auto" w:sz="4" w:space="0"/>
              <w:right w:val="single" w:color="auto" w:sz="6" w:space="0"/>
            </w:tcBorders>
          </w:tcPr>
          <w:p>
            <w:pPr>
              <w:rPr>
                <w:rFonts w:ascii="Calibri" w:hAnsi="Calibri"/>
                <w:highlight w:val="none"/>
              </w:rPr>
            </w:pPr>
            <w:r>
              <w:rPr>
                <w:rFonts w:hint="eastAsia" w:ascii="Calibri" w:hAnsi="Calibri"/>
                <w:highlight w:val="none"/>
              </w:rPr>
              <w:t>提供。</w:t>
            </w:r>
          </w:p>
          <w:p>
            <w:pPr>
              <w:rPr>
                <w:rFonts w:ascii="Calibri" w:hAnsi="Calibri"/>
                <w:highlight w:val="none"/>
              </w:rPr>
            </w:pPr>
            <w:r>
              <w:rPr>
                <w:rFonts w:hint="eastAsia" w:ascii="Calibri" w:hAnsi="Calibri"/>
                <w:highlight w:val="none"/>
              </w:rPr>
              <w:t>技术要求：</w:t>
            </w:r>
            <w:r>
              <w:rPr>
                <w:rFonts w:ascii="Calibri" w:hAnsi="Calibri"/>
                <w:highlight w:val="none"/>
              </w:rPr>
              <w:t>无需腹带</w:t>
            </w:r>
            <w:r>
              <w:rPr>
                <w:rFonts w:hint="eastAsia" w:ascii="Calibri" w:hAnsi="Calibri"/>
                <w:highlight w:val="none"/>
              </w:rPr>
              <w:t>或</w:t>
            </w:r>
            <w:r>
              <w:rPr>
                <w:rFonts w:ascii="Calibri" w:hAnsi="Calibri"/>
                <w:highlight w:val="none"/>
              </w:rPr>
              <w:t>红外相机等设备描记呼吸曲线，而是通过跟踪内部解剖信息来进行实时呼吸跟踪成像。</w:t>
            </w:r>
          </w:p>
        </w:tc>
      </w:tr>
      <w:tr>
        <w:tblPrEx>
          <w:tblCellMar>
            <w:top w:w="0" w:type="dxa"/>
            <w:left w:w="108" w:type="dxa"/>
            <w:bottom w:w="0" w:type="dxa"/>
            <w:right w:w="108" w:type="dxa"/>
          </w:tblCellMar>
        </w:tblPrEx>
        <w:trPr>
          <w:trHeight w:val="571" w:hRule="atLeast"/>
        </w:trPr>
        <w:tc>
          <w:tcPr>
            <w:tcW w:w="959" w:type="dxa"/>
            <w:tcBorders>
              <w:top w:val="single" w:color="auto" w:sz="4"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9.1</w:t>
            </w:r>
          </w:p>
        </w:tc>
        <w:tc>
          <w:tcPr>
            <w:tcW w:w="3544" w:type="dxa"/>
            <w:tcBorders>
              <w:top w:val="single" w:color="auto" w:sz="4" w:space="0"/>
              <w:left w:val="single" w:color="auto" w:sz="6" w:space="0"/>
              <w:bottom w:val="single" w:color="auto" w:sz="6" w:space="0"/>
              <w:right w:val="single" w:color="auto" w:sz="6" w:space="0"/>
            </w:tcBorders>
          </w:tcPr>
          <w:p>
            <w:pPr>
              <w:rPr>
                <w:rFonts w:hint="eastAsia" w:ascii="Calibri" w:hAnsi="Calibri"/>
                <w:highlight w:val="none"/>
                <w:lang w:eastAsia="zh-CN"/>
              </w:rPr>
            </w:pPr>
            <w:r>
              <w:rPr>
                <w:rFonts w:ascii="Calibri" w:hAnsi="Calibri"/>
                <w:highlight w:val="none"/>
              </w:rPr>
              <w:t>①无需任何外接设备采集呼吸运动图像</w:t>
            </w:r>
            <w:r>
              <w:rPr>
                <w:rFonts w:hint="eastAsia" w:ascii="Calibri" w:hAnsi="Calibri"/>
                <w:highlight w:val="none"/>
                <w:lang w:eastAsia="zh-CN"/>
              </w:rPr>
              <w:t>；</w:t>
            </w:r>
          </w:p>
          <w:p>
            <w:pPr>
              <w:rPr>
                <w:rFonts w:hint="eastAsia" w:ascii="Calibri" w:hAnsi="Calibri" w:eastAsiaTheme="minorEastAsia"/>
                <w:highlight w:val="none"/>
                <w:lang w:val="en-US" w:eastAsia="zh-CN"/>
              </w:rPr>
            </w:pPr>
            <w:r>
              <w:rPr>
                <w:rFonts w:ascii="Calibri" w:hAnsi="Calibri"/>
                <w:highlight w:val="none"/>
              </w:rPr>
              <w:t>②具有回顾性</w:t>
            </w:r>
            <w:r>
              <w:rPr>
                <w:rFonts w:hint="eastAsia" w:ascii="Calibri" w:hAnsi="Calibri"/>
                <w:highlight w:val="none"/>
              </w:rPr>
              <w:t>电影</w:t>
            </w:r>
            <w:r>
              <w:rPr>
                <w:rFonts w:ascii="Calibri" w:hAnsi="Calibri"/>
                <w:highlight w:val="none"/>
              </w:rPr>
              <w:t>扫描模式</w:t>
            </w:r>
            <w:r>
              <w:rPr>
                <w:rFonts w:hint="eastAsia" w:ascii="Calibri" w:hAnsi="Calibri"/>
                <w:highlight w:val="none"/>
                <w:lang w:val="en-US" w:eastAsia="zh-CN"/>
              </w:rPr>
              <w:t>;</w:t>
            </w:r>
          </w:p>
          <w:p>
            <w:pPr>
              <w:rPr>
                <w:rFonts w:hint="eastAsia" w:ascii="Calibri" w:hAnsi="Calibri"/>
                <w:highlight w:val="none"/>
                <w:lang w:eastAsia="zh-CN"/>
              </w:rPr>
            </w:pPr>
            <w:r>
              <w:rPr>
                <w:rFonts w:ascii="Calibri" w:hAnsi="Calibri"/>
                <w:highlight w:val="none"/>
              </w:rPr>
              <w:t>③自动将不同呼吸期象图像分类</w:t>
            </w:r>
            <w:r>
              <w:rPr>
                <w:rFonts w:hint="eastAsia" w:ascii="Calibri" w:hAnsi="Calibri"/>
                <w:highlight w:val="none"/>
                <w:lang w:eastAsia="zh-CN"/>
              </w:rPr>
              <w:t>；</w:t>
            </w:r>
            <w:r>
              <w:rPr>
                <w:rFonts w:ascii="Calibri" w:hAnsi="Calibri"/>
                <w:highlight w:val="none"/>
              </w:rPr>
              <w:t>④4D 呼吸运动电影显示</w:t>
            </w:r>
            <w:r>
              <w:rPr>
                <w:rFonts w:hint="eastAsia" w:ascii="Calibri" w:hAnsi="Calibri"/>
                <w:highlight w:val="none"/>
                <w:lang w:eastAsia="zh-CN"/>
              </w:rPr>
              <w:t>；</w:t>
            </w:r>
          </w:p>
          <w:p>
            <w:pPr>
              <w:rPr>
                <w:rFonts w:hint="eastAsia" w:ascii="Calibri" w:hAnsi="Calibri" w:eastAsiaTheme="minorEastAsia"/>
                <w:highlight w:val="none"/>
                <w:lang w:eastAsia="zh-CN"/>
              </w:rPr>
            </w:pPr>
            <w:r>
              <w:rPr>
                <w:rFonts w:ascii="Calibri" w:hAnsi="Calibri"/>
                <w:highlight w:val="none"/>
              </w:rPr>
              <w:t>⑤4D图像</w:t>
            </w:r>
            <w:r>
              <w:rPr>
                <w:rFonts w:hint="eastAsia" w:ascii="Calibri" w:hAnsi="Calibri"/>
                <w:highlight w:val="none"/>
              </w:rPr>
              <w:t>可传输至</w:t>
            </w:r>
            <w:r>
              <w:rPr>
                <w:rFonts w:ascii="Calibri" w:hAnsi="Calibri"/>
                <w:highlight w:val="none"/>
              </w:rPr>
              <w:t>其他厂家勾画靶区的软件系统</w:t>
            </w:r>
          </w:p>
        </w:tc>
        <w:tc>
          <w:tcPr>
            <w:tcW w:w="4435" w:type="dxa"/>
            <w:tcBorders>
              <w:top w:val="single" w:color="auto" w:sz="4" w:space="0"/>
              <w:left w:val="single" w:color="auto" w:sz="6" w:space="0"/>
              <w:bottom w:val="single" w:color="auto" w:sz="6" w:space="0"/>
              <w:right w:val="single" w:color="auto" w:sz="6" w:space="0"/>
            </w:tcBorders>
          </w:tcPr>
          <w:p>
            <w:pPr>
              <w:rPr>
                <w:rFonts w:ascii="Calibri" w:hAnsi="Calibri"/>
                <w:highlight w:val="none"/>
              </w:rPr>
            </w:pPr>
            <w:r>
              <w:rPr>
                <w:rFonts w:ascii="Calibri" w:hAnsi="Calibri"/>
                <w:highlight w:val="none"/>
              </w:rPr>
              <w:t>提供</w:t>
            </w:r>
          </w:p>
        </w:tc>
      </w:tr>
      <w:tr>
        <w:tblPrEx>
          <w:tblCellMar>
            <w:top w:w="0" w:type="dxa"/>
            <w:left w:w="108" w:type="dxa"/>
            <w:bottom w:w="0" w:type="dxa"/>
            <w:right w:w="108" w:type="dxa"/>
          </w:tblCellMar>
        </w:tblPrEx>
        <w:trPr>
          <w:trHeight w:val="290"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10</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第三方设备</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p>
        </w:tc>
      </w:tr>
      <w:tr>
        <w:tblPrEx>
          <w:tblCellMar>
            <w:top w:w="0" w:type="dxa"/>
            <w:left w:w="108" w:type="dxa"/>
            <w:bottom w:w="0" w:type="dxa"/>
            <w:right w:w="108" w:type="dxa"/>
          </w:tblCellMar>
        </w:tblPrEx>
        <w:trPr>
          <w:trHeight w:val="251"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10.1</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激光定位灯</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具备</w:t>
            </w:r>
          </w:p>
        </w:tc>
      </w:tr>
      <w:tr>
        <w:tblPrEx>
          <w:tblCellMar>
            <w:top w:w="0" w:type="dxa"/>
            <w:left w:w="108" w:type="dxa"/>
            <w:bottom w:w="0" w:type="dxa"/>
            <w:right w:w="108" w:type="dxa"/>
          </w:tblCellMar>
        </w:tblPrEx>
        <w:trPr>
          <w:trHeight w:val="342" w:hRule="atLeast"/>
        </w:trPr>
        <w:tc>
          <w:tcPr>
            <w:tcW w:w="959"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10.2</w:t>
            </w:r>
          </w:p>
        </w:tc>
        <w:tc>
          <w:tcPr>
            <w:tcW w:w="3544"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高压注射器</w:t>
            </w:r>
          </w:p>
        </w:tc>
        <w:tc>
          <w:tcPr>
            <w:tcW w:w="4435" w:type="dxa"/>
            <w:tcBorders>
              <w:top w:val="single" w:color="auto" w:sz="6" w:space="0"/>
              <w:left w:val="single" w:color="auto" w:sz="6" w:space="0"/>
              <w:bottom w:val="single" w:color="auto" w:sz="6" w:space="0"/>
              <w:right w:val="single" w:color="auto" w:sz="6" w:space="0"/>
            </w:tcBorders>
          </w:tcPr>
          <w:p>
            <w:pPr>
              <w:rPr>
                <w:rFonts w:ascii="Calibri" w:hAnsi="Calibri"/>
                <w:highlight w:val="none"/>
              </w:rPr>
            </w:pPr>
            <w:r>
              <w:rPr>
                <w:rFonts w:hint="eastAsia" w:ascii="Calibri" w:hAnsi="Calibri"/>
                <w:highlight w:val="none"/>
              </w:rPr>
              <w:t>具备</w:t>
            </w:r>
          </w:p>
        </w:tc>
      </w:tr>
      <w:tr>
        <w:tblPrEx>
          <w:tblCellMar>
            <w:top w:w="0" w:type="dxa"/>
            <w:left w:w="108" w:type="dxa"/>
            <w:bottom w:w="0" w:type="dxa"/>
            <w:right w:w="108" w:type="dxa"/>
          </w:tblCellMar>
        </w:tblPrEx>
        <w:trPr>
          <w:trHeight w:val="342" w:hRule="atLeast"/>
        </w:trPr>
        <w:tc>
          <w:tcPr>
            <w:tcW w:w="959" w:type="dxa"/>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cs="Arial"/>
                <w:b w:val="0"/>
                <w:bCs w:val="0"/>
                <w:color w:val="auto"/>
                <w:szCs w:val="21"/>
                <w:highlight w:val="none"/>
              </w:rPr>
            </w:pPr>
            <w:r>
              <w:rPr>
                <w:rFonts w:hint="eastAsia" w:ascii="宋体" w:hAnsi="宋体" w:cs="Arial"/>
                <w:b w:val="0"/>
                <w:bCs w:val="0"/>
                <w:color w:val="auto"/>
                <w:szCs w:val="21"/>
                <w:highlight w:val="none"/>
              </w:rPr>
              <w:t>11</w:t>
            </w:r>
          </w:p>
        </w:tc>
        <w:tc>
          <w:tcPr>
            <w:tcW w:w="3544" w:type="dxa"/>
            <w:tcBorders>
              <w:top w:val="single" w:color="auto" w:sz="6" w:space="0"/>
              <w:left w:val="single" w:color="auto" w:sz="6" w:space="0"/>
              <w:bottom w:val="single" w:color="auto" w:sz="6" w:space="0"/>
              <w:right w:val="single" w:color="auto" w:sz="6" w:space="0"/>
            </w:tcBorders>
          </w:tcPr>
          <w:p>
            <w:pPr>
              <w:pStyle w:val="4"/>
              <w:rPr>
                <w:b w:val="0"/>
                <w:bCs w:val="0"/>
                <w:color w:val="auto"/>
                <w:highlight w:val="none"/>
              </w:rPr>
            </w:pPr>
            <w:r>
              <w:rPr>
                <w:rFonts w:hint="eastAsia"/>
                <w:b w:val="0"/>
                <w:bCs w:val="0"/>
                <w:color w:val="auto"/>
                <w:highlight w:val="none"/>
                <w:lang w:val="en-US" w:eastAsia="zh-CN"/>
              </w:rPr>
              <w:t>制冷与制热设备</w:t>
            </w:r>
            <w:r>
              <w:rPr>
                <w:rFonts w:hint="eastAsia"/>
                <w:b w:val="0"/>
                <w:bCs w:val="0"/>
                <w:color w:val="auto"/>
                <w:highlight w:val="none"/>
              </w:rPr>
              <w:t>1套。</w:t>
            </w:r>
          </w:p>
        </w:tc>
        <w:tc>
          <w:tcPr>
            <w:tcW w:w="4435" w:type="dxa"/>
            <w:tcBorders>
              <w:top w:val="single" w:color="auto" w:sz="6" w:space="0"/>
              <w:left w:val="single" w:color="auto" w:sz="6" w:space="0"/>
              <w:bottom w:val="single" w:color="auto" w:sz="6" w:space="0"/>
              <w:right w:val="single" w:color="auto" w:sz="6" w:space="0"/>
            </w:tcBorders>
          </w:tcPr>
          <w:p>
            <w:pPr>
              <w:rPr>
                <w:rFonts w:hint="eastAsia" w:ascii="Calibri" w:hAnsi="Calibri"/>
                <w:b w:val="0"/>
                <w:bCs w:val="0"/>
                <w:color w:val="auto"/>
                <w:highlight w:val="none"/>
              </w:rPr>
            </w:pPr>
          </w:p>
        </w:tc>
      </w:tr>
      <w:tr>
        <w:tblPrEx>
          <w:tblCellMar>
            <w:top w:w="0" w:type="dxa"/>
            <w:left w:w="108" w:type="dxa"/>
            <w:bottom w:w="0" w:type="dxa"/>
            <w:right w:w="108" w:type="dxa"/>
          </w:tblCellMar>
        </w:tblPrEx>
        <w:trPr>
          <w:trHeight w:val="342" w:hRule="atLeast"/>
        </w:trPr>
        <w:tc>
          <w:tcPr>
            <w:tcW w:w="959" w:type="dxa"/>
            <w:tcBorders>
              <w:top w:val="single" w:color="auto" w:sz="6" w:space="0"/>
              <w:left w:val="single" w:color="auto" w:sz="6" w:space="0"/>
              <w:bottom w:val="single" w:color="auto" w:sz="6" w:space="0"/>
              <w:right w:val="single" w:color="auto" w:sz="6" w:space="0"/>
            </w:tcBorders>
            <w:vAlign w:val="top"/>
          </w:tcPr>
          <w:p>
            <w:pPr>
              <w:widowControl/>
              <w:jc w:val="both"/>
              <w:rPr>
                <w:rFonts w:ascii="宋体" w:hAnsi="宋体" w:cs="Arial"/>
                <w:b w:val="0"/>
                <w:bCs w:val="0"/>
                <w:color w:val="auto"/>
                <w:szCs w:val="21"/>
                <w:highlight w:val="none"/>
              </w:rPr>
            </w:pPr>
            <w:r>
              <w:rPr>
                <w:rFonts w:hint="eastAsia" w:ascii="宋体" w:hAnsi="宋体" w:cs="Arial"/>
                <w:b w:val="0"/>
                <w:bCs w:val="0"/>
                <w:color w:val="auto"/>
                <w:szCs w:val="21"/>
                <w:highlight w:val="none"/>
              </w:rPr>
              <w:t>12</w:t>
            </w:r>
          </w:p>
        </w:tc>
        <w:tc>
          <w:tcPr>
            <w:tcW w:w="3544" w:type="dxa"/>
            <w:tcBorders>
              <w:top w:val="single" w:color="auto" w:sz="6" w:space="0"/>
              <w:left w:val="single" w:color="auto" w:sz="6" w:space="0"/>
              <w:bottom w:val="single" w:color="auto" w:sz="6" w:space="0"/>
              <w:right w:val="single" w:color="auto" w:sz="6" w:space="0"/>
            </w:tcBorders>
            <w:vAlign w:val="top"/>
          </w:tcPr>
          <w:p>
            <w:pPr>
              <w:pStyle w:val="4"/>
              <w:jc w:val="both"/>
              <w:rPr>
                <w:rFonts w:hint="eastAsia"/>
                <w:color w:val="auto"/>
                <w:sz w:val="21"/>
                <w:szCs w:val="21"/>
                <w:highlight w:val="none"/>
              </w:rPr>
            </w:pPr>
            <w:r>
              <w:rPr>
                <w:rFonts w:hint="eastAsia"/>
                <w:color w:val="auto"/>
                <w:sz w:val="21"/>
                <w:szCs w:val="21"/>
                <w:highlight w:val="none"/>
              </w:rPr>
              <w:t>包含机房装修</w:t>
            </w:r>
          </w:p>
          <w:p>
            <w:pPr>
              <w:keepNext/>
              <w:widowControl/>
              <w:adjustRightInd w:val="0"/>
              <w:snapToGrid w:val="0"/>
              <w:jc w:val="both"/>
              <w:rPr>
                <w:rFonts w:ascii="Arial" w:hAnsi="Arial" w:cs="Arial"/>
                <w:b w:val="0"/>
                <w:bCs w:val="0"/>
                <w:color w:val="auto"/>
                <w:kern w:val="0"/>
                <w:sz w:val="24"/>
                <w:highlight w:val="none"/>
              </w:rPr>
            </w:pPr>
          </w:p>
        </w:tc>
        <w:tc>
          <w:tcPr>
            <w:tcW w:w="4435" w:type="dxa"/>
            <w:tcBorders>
              <w:top w:val="single" w:color="auto" w:sz="6" w:space="0"/>
              <w:left w:val="single" w:color="auto" w:sz="6" w:space="0"/>
              <w:bottom w:val="single" w:color="auto" w:sz="6" w:space="0"/>
              <w:right w:val="single" w:color="auto" w:sz="6" w:space="0"/>
            </w:tcBorders>
            <w:vAlign w:val="top"/>
          </w:tcPr>
          <w:p>
            <w:pPr>
              <w:pStyle w:val="4"/>
              <w:jc w:val="both"/>
              <w:rPr>
                <w:rFonts w:hint="eastAsia"/>
                <w:color w:val="auto"/>
                <w:sz w:val="21"/>
                <w:szCs w:val="21"/>
                <w:highlight w:val="none"/>
              </w:rPr>
            </w:pPr>
            <w:r>
              <w:rPr>
                <w:rFonts w:hint="eastAsia"/>
                <w:color w:val="auto"/>
                <w:sz w:val="21"/>
                <w:szCs w:val="21"/>
                <w:highlight w:val="none"/>
              </w:rPr>
              <w:t>达到《工程施工质量验收规范》及行业相关标准、相关规范验收合格标准，同时应通过第三方检测机构的“工作场所放射防护检测”</w:t>
            </w:r>
            <w:r>
              <w:rPr>
                <w:rFonts w:hint="eastAsia"/>
                <w:color w:val="auto"/>
                <w:sz w:val="21"/>
                <w:szCs w:val="21"/>
                <w:highlight w:val="none"/>
                <w:lang w:val="en-US" w:eastAsia="zh-CN"/>
              </w:rPr>
              <w:t>的使用</w:t>
            </w:r>
            <w:r>
              <w:rPr>
                <w:rFonts w:hint="eastAsia"/>
                <w:color w:val="auto"/>
                <w:sz w:val="21"/>
                <w:szCs w:val="21"/>
                <w:highlight w:val="none"/>
              </w:rPr>
              <w:t>要求。</w:t>
            </w:r>
          </w:p>
          <w:p>
            <w:pPr>
              <w:jc w:val="both"/>
              <w:rPr>
                <w:rFonts w:hint="eastAsia" w:ascii="Calibri" w:hAnsi="Calibri"/>
                <w:b w:val="0"/>
                <w:bCs w:val="0"/>
                <w:color w:val="auto"/>
                <w:highlight w:val="none"/>
              </w:rPr>
            </w:pPr>
          </w:p>
        </w:tc>
      </w:tr>
    </w:tbl>
    <w:p>
      <w:pPr>
        <w:rPr>
          <w:highlight w:val="none"/>
        </w:rPr>
      </w:pP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三、商务条件</w:t>
      </w:r>
      <w:r>
        <w:rPr>
          <w:rStyle w:val="10"/>
          <w:rFonts w:hint="eastAsia" w:asciiTheme="minorEastAsia" w:hAnsiTheme="minorEastAsia" w:eastAsiaTheme="minorEastAsia" w:cstheme="minorEastAsia"/>
          <w:b/>
          <w:spacing w:val="0"/>
          <w:sz w:val="21"/>
          <w:szCs w:val="21"/>
          <w:highlight w:val="none"/>
        </w:rPr>
        <w:t>（以“★”标示的内容为不允许负偏离的实质性要求）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包：1</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1、交付地点：福建省福州市仓山区湖边2号</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2、交付时间：合同签订后 (45 ) 天内交货</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3、交付条件：详见招标文件</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4、是否收取履约保证金：是。履约保证金百分比：</w:t>
      </w:r>
      <w:r>
        <w:rPr>
          <w:rStyle w:val="10"/>
          <w:rFonts w:hint="eastAsia" w:asciiTheme="minorEastAsia" w:hAnsiTheme="minorEastAsia" w:eastAsiaTheme="minorEastAsia" w:cstheme="minorEastAsia"/>
          <w:b/>
          <w:spacing w:val="0"/>
          <w:sz w:val="21"/>
          <w:szCs w:val="21"/>
          <w:highlight w:val="none"/>
          <w:lang w:val="en-US" w:eastAsia="zh-CN"/>
        </w:rPr>
        <w:t>10</w:t>
      </w:r>
      <w:r>
        <w:rPr>
          <w:rStyle w:val="10"/>
          <w:rFonts w:hint="eastAsia" w:asciiTheme="minorEastAsia" w:hAnsiTheme="minorEastAsia" w:eastAsiaTheme="minorEastAsia" w:cstheme="minorEastAsia"/>
          <w:b/>
          <w:spacing w:val="0"/>
          <w:sz w:val="21"/>
          <w:szCs w:val="21"/>
          <w:highlight w:val="none"/>
        </w:rPr>
        <w:t>%。说明：中标人在收到中标通知书之后15日内，以现金转账的方式支付履约保证金（中标金额的</w:t>
      </w:r>
      <w:r>
        <w:rPr>
          <w:rStyle w:val="10"/>
          <w:rFonts w:hint="eastAsia" w:asciiTheme="minorEastAsia" w:hAnsiTheme="minorEastAsia" w:eastAsiaTheme="minorEastAsia" w:cstheme="minorEastAsia"/>
          <w:b/>
          <w:spacing w:val="0"/>
          <w:sz w:val="21"/>
          <w:szCs w:val="21"/>
          <w:highlight w:val="none"/>
          <w:lang w:val="en-US" w:eastAsia="zh-CN"/>
        </w:rPr>
        <w:t>10</w:t>
      </w:r>
      <w:r>
        <w:rPr>
          <w:rStyle w:val="10"/>
          <w:rFonts w:hint="eastAsia" w:asciiTheme="minorEastAsia" w:hAnsiTheme="minorEastAsia" w:eastAsiaTheme="minorEastAsia" w:cstheme="minorEastAsia"/>
          <w:b/>
          <w:spacing w:val="0"/>
          <w:sz w:val="21"/>
          <w:szCs w:val="21"/>
          <w:highlight w:val="none"/>
        </w:rPr>
        <w:t>%）至采购人指定账户或者提供等额</w:t>
      </w:r>
      <w:r>
        <w:rPr>
          <w:rStyle w:val="10"/>
          <w:rFonts w:hint="eastAsia" w:asciiTheme="minorEastAsia" w:hAnsiTheme="minorEastAsia" w:cstheme="minorEastAsia"/>
          <w:b/>
          <w:spacing w:val="0"/>
          <w:sz w:val="21"/>
          <w:szCs w:val="21"/>
          <w:highlight w:val="none"/>
          <w:lang w:val="en-US" w:eastAsia="zh-CN"/>
        </w:rPr>
        <w:t>银行</w:t>
      </w:r>
      <w:r>
        <w:rPr>
          <w:rStyle w:val="10"/>
          <w:rFonts w:hint="eastAsia" w:asciiTheme="minorEastAsia" w:hAnsiTheme="minorEastAsia" w:eastAsiaTheme="minorEastAsia" w:cstheme="minorEastAsia"/>
          <w:b/>
          <w:spacing w:val="0"/>
          <w:sz w:val="21"/>
          <w:szCs w:val="21"/>
          <w:highlight w:val="none"/>
        </w:rPr>
        <w:t>履约保函（保函内容需经采购人同意后方可出具），</w:t>
      </w:r>
      <w:r>
        <w:rPr>
          <w:rStyle w:val="10"/>
          <w:rFonts w:hint="eastAsia" w:asciiTheme="minorEastAsia" w:hAnsiTheme="minorEastAsia" w:eastAsiaTheme="minorEastAsia" w:cstheme="minorEastAsia"/>
          <w:b/>
          <w:spacing w:val="0"/>
          <w:sz w:val="21"/>
          <w:szCs w:val="21"/>
          <w:highlight w:val="none"/>
          <w:lang w:val="en-US" w:eastAsia="zh-CN"/>
        </w:rPr>
        <w:t>（</w:t>
      </w:r>
      <w:r>
        <w:rPr>
          <w:rStyle w:val="10"/>
          <w:rFonts w:hint="eastAsia" w:asciiTheme="minorEastAsia" w:hAnsiTheme="minorEastAsia" w:eastAsiaTheme="minorEastAsia" w:cstheme="minorEastAsia"/>
          <w:b/>
          <w:spacing w:val="0"/>
          <w:sz w:val="21"/>
          <w:szCs w:val="21"/>
          <w:highlight w:val="none"/>
        </w:rPr>
        <w:t>若中标人符合中小企业认定标准且按招标文件规定提供有效证明文件的，履约保证金收取比例为中标总价的5%</w:t>
      </w:r>
      <w:r>
        <w:rPr>
          <w:rStyle w:val="10"/>
          <w:rFonts w:hint="eastAsia" w:asciiTheme="minorEastAsia" w:hAnsiTheme="minorEastAsia" w:eastAsiaTheme="minorEastAsia" w:cstheme="minorEastAsia"/>
          <w:b/>
          <w:spacing w:val="0"/>
          <w:sz w:val="21"/>
          <w:szCs w:val="21"/>
          <w:highlight w:val="none"/>
          <w:lang w:val="en-US" w:eastAsia="zh-CN"/>
        </w:rPr>
        <w:t>），该履约保证金在验收合格质保期满后无质量及售后等问题，由中标人提出退还履约保证金申请，采购人在收到中标人申请文件后30个工作日内以银行转账的方式无息返还履约保证金。若在此期间出现违约和质量问题，采购人将视出现问题的轻重程度，从履约保证金中扣除由此产生的相应费用直至完全扣除。</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5、是否邀请投标人参与验收：否</w:t>
      </w:r>
      <w:r>
        <w:rPr>
          <w:rStyle w:val="10"/>
          <w:rFonts w:hint="eastAsia" w:asciiTheme="minorEastAsia" w:hAnsiTheme="minorEastAsia" w:eastAsiaTheme="minorEastAsia" w:cstheme="minorEastAsia"/>
          <w:b/>
          <w:spacing w:val="0"/>
          <w:sz w:val="21"/>
          <w:szCs w:val="21"/>
          <w:highlight w:val="none"/>
        </w:rPr>
        <w:br w:type="textWrapping"/>
      </w:r>
      <w:r>
        <w:rPr>
          <w:rStyle w:val="10"/>
          <w:rFonts w:hint="eastAsia" w:asciiTheme="minorEastAsia" w:hAnsiTheme="minorEastAsia" w:eastAsiaTheme="minorEastAsia" w:cstheme="minorEastAsia"/>
          <w:b/>
          <w:spacing w:val="0"/>
          <w:sz w:val="21"/>
          <w:szCs w:val="21"/>
          <w:highlight w:val="none"/>
        </w:rPr>
        <w:t>6、验收方式数据表格</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663"/>
        <w:gridCol w:w="6653"/>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0" w:type="dxa"/>
            <w:left w:w="0" w:type="dxa"/>
            <w:bottom w:w="0" w:type="dxa"/>
            <w:right w:w="0" w:type="dxa"/>
          </w:tblCellMar>
        </w:tblPrEx>
        <w:trPr>
          <w:tblHeader/>
        </w:trPr>
        <w:tc>
          <w:tcPr>
            <w:tcW w:w="1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验收期次</w:t>
            </w:r>
          </w:p>
        </w:tc>
        <w:tc>
          <w:tcPr>
            <w:tcW w:w="4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验收期次说明</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详见招标文件</w:t>
            </w:r>
          </w:p>
        </w:tc>
      </w:tr>
    </w:tbl>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kern w:val="0"/>
          <w:sz w:val="21"/>
          <w:szCs w:val="21"/>
          <w:highlight w:val="none"/>
          <w:lang w:val="en-US" w:eastAsia="zh-CN" w:bidi="ar"/>
        </w:rPr>
        <w:t>7、支付方式数据表格</w:t>
      </w:r>
    </w:p>
    <w:tbl>
      <w:tblPr>
        <w:tblStyle w:val="8"/>
        <w:tblW w:w="5000" w:type="pct"/>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663"/>
        <w:gridCol w:w="1663"/>
        <w:gridCol w:w="4990"/>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rPr>
          <w:tblHeader/>
        </w:trPr>
        <w:tc>
          <w:tcPr>
            <w:tcW w:w="1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支付期次</w:t>
            </w:r>
          </w:p>
        </w:tc>
        <w:tc>
          <w:tcPr>
            <w:tcW w:w="1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支付比例(%)</w:t>
            </w:r>
          </w:p>
        </w:tc>
        <w:tc>
          <w:tcPr>
            <w:tcW w:w="3000" w:type="pct"/>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支付期次说明</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10</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合同签订后支付合同价款的10%，中标人须提供增值税普通发票。</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2</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40</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货到现场</w:t>
            </w:r>
            <w:r>
              <w:rPr>
                <w:rFonts w:hint="eastAsia" w:asciiTheme="minorEastAsia" w:hAnsiTheme="minorEastAsia" w:cstheme="minorEastAsia"/>
                <w:color w:val="auto"/>
                <w:kern w:val="0"/>
                <w:sz w:val="21"/>
                <w:szCs w:val="21"/>
                <w:highlight w:val="none"/>
                <w:lang w:val="en-US" w:eastAsia="zh-CN" w:bidi="ar"/>
              </w:rPr>
              <w:t>后</w:t>
            </w:r>
            <w:r>
              <w:rPr>
                <w:rFonts w:hint="eastAsia" w:asciiTheme="minorEastAsia" w:hAnsiTheme="minorEastAsia" w:eastAsiaTheme="minorEastAsia" w:cstheme="minorEastAsia"/>
                <w:color w:val="auto"/>
                <w:kern w:val="0"/>
                <w:sz w:val="21"/>
                <w:szCs w:val="21"/>
                <w:highlight w:val="none"/>
                <w:lang w:val="en-US" w:eastAsia="zh-CN" w:bidi="ar"/>
              </w:rPr>
              <w:t>支付合同价款40%</w:t>
            </w:r>
            <w:r>
              <w:rPr>
                <w:rFonts w:hint="eastAsia" w:asciiTheme="minorEastAsia" w:hAnsiTheme="minorEastAsia" w:cstheme="minorEastAsia"/>
                <w:color w:val="auto"/>
                <w:kern w:val="0"/>
                <w:sz w:val="21"/>
                <w:szCs w:val="21"/>
                <w:highlight w:val="none"/>
                <w:lang w:val="en-US" w:eastAsia="zh-CN" w:bidi="ar"/>
              </w:rPr>
              <w:t>，</w:t>
            </w:r>
            <w:r>
              <w:rPr>
                <w:rFonts w:hint="eastAsia" w:asciiTheme="minorEastAsia" w:hAnsiTheme="minorEastAsia" w:eastAsiaTheme="minorEastAsia" w:cstheme="minorEastAsia"/>
                <w:color w:val="auto"/>
                <w:kern w:val="0"/>
                <w:sz w:val="21"/>
                <w:szCs w:val="21"/>
                <w:highlight w:val="none"/>
                <w:lang w:val="en-US" w:eastAsia="zh-CN" w:bidi="ar"/>
              </w:rPr>
              <w:t>中标人须提供增值税普通发票。</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3</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40</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cstheme="minorEastAsia"/>
                <w:color w:val="auto"/>
                <w:kern w:val="0"/>
                <w:sz w:val="21"/>
                <w:szCs w:val="21"/>
                <w:highlight w:val="none"/>
                <w:lang w:val="en-US" w:eastAsia="zh-CN" w:bidi="ar"/>
              </w:rPr>
              <w:t>经采购人</w:t>
            </w:r>
            <w:r>
              <w:rPr>
                <w:rFonts w:hint="eastAsia" w:asciiTheme="minorEastAsia" w:hAnsiTheme="minorEastAsia" w:eastAsiaTheme="minorEastAsia" w:cstheme="minorEastAsia"/>
                <w:color w:val="auto"/>
                <w:kern w:val="0"/>
                <w:sz w:val="21"/>
                <w:szCs w:val="21"/>
                <w:highlight w:val="none"/>
                <w:lang w:val="en-US" w:eastAsia="zh-CN" w:bidi="ar"/>
              </w:rPr>
              <w:t>验收合格后支付合同价款40%</w:t>
            </w:r>
            <w:r>
              <w:rPr>
                <w:rFonts w:hint="eastAsia" w:asciiTheme="minorEastAsia" w:hAnsiTheme="minorEastAsia" w:cstheme="minorEastAsia"/>
                <w:color w:val="auto"/>
                <w:kern w:val="0"/>
                <w:sz w:val="21"/>
                <w:szCs w:val="21"/>
                <w:highlight w:val="none"/>
                <w:lang w:val="en-US" w:eastAsia="zh-CN" w:bidi="ar"/>
              </w:rPr>
              <w:t>，</w:t>
            </w:r>
            <w:r>
              <w:rPr>
                <w:rFonts w:hint="eastAsia" w:asciiTheme="minorEastAsia" w:hAnsiTheme="minorEastAsia" w:eastAsiaTheme="minorEastAsia" w:cstheme="minorEastAsia"/>
                <w:color w:val="auto"/>
                <w:kern w:val="0"/>
                <w:sz w:val="21"/>
                <w:szCs w:val="21"/>
                <w:highlight w:val="none"/>
                <w:lang w:val="en-US" w:eastAsia="zh-CN" w:bidi="ar"/>
              </w:rPr>
              <w:t>中标人须提供增值税普通发票。</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0" w:type="dxa"/>
            <w:left w:w="0" w:type="dxa"/>
            <w:bottom w:w="0" w:type="dxa"/>
            <w:right w:w="0" w:type="dxa"/>
          </w:tblCellMar>
        </w:tblPrEx>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4</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10</w:t>
            </w:r>
          </w:p>
        </w:tc>
        <w:tc>
          <w:tcPr>
            <w:tcW w:w="0" w:type="auto"/>
            <w:tcBorders>
              <w:top w:val="single" w:color="666666" w:sz="4" w:space="0"/>
              <w:left w:val="single" w:color="666666" w:sz="4" w:space="0"/>
              <w:bottom w:val="single" w:color="666666" w:sz="4" w:space="0"/>
              <w:right w:val="single" w:color="666666" w:sz="4" w:space="0"/>
            </w:tcBorders>
            <w:shd w:val="clear" w:color="auto" w:fill="FFFFFF"/>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kern w:val="0"/>
                <w:sz w:val="21"/>
                <w:szCs w:val="21"/>
                <w:highlight w:val="none"/>
                <w:lang w:val="en-US" w:eastAsia="zh-CN" w:bidi="ar"/>
              </w:rPr>
              <w:t>设备运行</w:t>
            </w:r>
            <w:r>
              <w:rPr>
                <w:rFonts w:hint="eastAsia" w:asciiTheme="minorEastAsia" w:hAnsiTheme="minorEastAsia" w:cstheme="minorEastAsia"/>
                <w:kern w:val="0"/>
                <w:sz w:val="21"/>
                <w:szCs w:val="21"/>
                <w:highlight w:val="none"/>
                <w:lang w:val="en-US" w:eastAsia="zh-CN" w:bidi="ar"/>
              </w:rPr>
              <w:t>半</w:t>
            </w:r>
            <w:r>
              <w:rPr>
                <w:rFonts w:hint="eastAsia" w:asciiTheme="minorEastAsia" w:hAnsiTheme="minorEastAsia" w:eastAsiaTheme="minorEastAsia" w:cstheme="minorEastAsia"/>
                <w:kern w:val="0"/>
                <w:sz w:val="21"/>
                <w:szCs w:val="21"/>
                <w:highlight w:val="none"/>
                <w:lang w:val="en-US" w:eastAsia="zh-CN" w:bidi="ar"/>
              </w:rPr>
              <w:t>年后无质量及售后服务等问题支付10%合同款</w:t>
            </w:r>
          </w:p>
        </w:tc>
      </w:tr>
    </w:tbl>
    <w:p>
      <w:pPr>
        <w:pStyle w:val="7"/>
        <w:keepNext w:val="0"/>
        <w:keepLines w:val="0"/>
        <w:widowControl/>
        <w:suppressLineNumbers w:val="0"/>
        <w:spacing w:before="60" w:beforeAutospacing="0" w:after="60" w:afterAutospacing="0"/>
        <w:ind w:left="0" w:right="0" w:firstLine="0"/>
        <w:jc w:val="left"/>
        <w:rPr>
          <w:rFonts w:hint="default" w:asciiTheme="minorEastAsia" w:hAnsiTheme="minorEastAsia" w:eastAsiaTheme="minorEastAsia" w:cstheme="minorEastAsia"/>
          <w:spacing w:val="0"/>
          <w:sz w:val="21"/>
          <w:szCs w:val="21"/>
          <w:highlight w:val="none"/>
          <w:lang w:val="en-US" w:eastAsia="zh-CN"/>
        </w:rPr>
      </w:pPr>
      <w:r>
        <w:rPr>
          <w:rFonts w:hint="eastAsia" w:asciiTheme="minorEastAsia" w:hAnsiTheme="minorEastAsia" w:cstheme="minorEastAsia"/>
          <w:spacing w:val="0"/>
          <w:sz w:val="21"/>
          <w:szCs w:val="21"/>
          <w:highlight w:val="none"/>
          <w:lang w:val="en-US" w:eastAsia="zh-CN"/>
        </w:rPr>
        <w:t>8</w:t>
      </w:r>
      <w:r>
        <w:rPr>
          <w:rFonts w:hint="eastAsia" w:asciiTheme="minorEastAsia" w:hAnsiTheme="minorEastAsia" w:eastAsiaTheme="minorEastAsia" w:cstheme="minorEastAsia"/>
          <w:spacing w:val="0"/>
          <w:sz w:val="21"/>
          <w:szCs w:val="21"/>
          <w:highlight w:val="none"/>
        </w:rPr>
        <w:t>、</w:t>
      </w:r>
      <w:r>
        <w:rPr>
          <w:rFonts w:hint="eastAsia" w:asciiTheme="minorEastAsia" w:hAnsiTheme="minorEastAsia" w:cstheme="minorEastAsia"/>
          <w:spacing w:val="0"/>
          <w:sz w:val="21"/>
          <w:szCs w:val="21"/>
          <w:highlight w:val="none"/>
          <w:lang w:val="en-US" w:eastAsia="zh-CN"/>
        </w:rPr>
        <w:t>产品要求</w:t>
      </w:r>
    </w:p>
    <w:p>
      <w:pPr>
        <w:pStyle w:val="7"/>
        <w:keepNext w:val="0"/>
        <w:keepLines w:val="0"/>
        <w:widowControl/>
        <w:suppressLineNumbers w:val="0"/>
        <w:spacing w:before="60" w:beforeAutospacing="0" w:after="60" w:afterAutospacing="0"/>
        <w:ind w:left="0" w:right="0" w:firstLine="420" w:firstLineChars="200"/>
        <w:jc w:val="left"/>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投标人所投货物为生产厂家的正规合格产品，所有货物均为全新原厂原包装（未经使用和非展览会展示样品设备，外观无刮、碰痕迹，并有下列明显标记：名 称、品 牌型 号、制 造商 标识、产地、出厂日期、出产序列号等），不接受改装改配产品。货物的制造标准及技术规范等有关资料必须符合国家相关标准、规范要求。货物的电气、设备仪表应符合国家相关规定，噪音方面符合国家相关标准，货物质量达到设 计要求，安装调试各项指标符合技术参数要求且须通过质检计量部门的检验。</w:t>
      </w:r>
    </w:p>
    <w:p>
      <w:pPr>
        <w:pStyle w:val="7"/>
        <w:keepNext w:val="0"/>
        <w:keepLines w:val="0"/>
        <w:widowControl/>
        <w:suppressLineNumbers w:val="0"/>
        <w:spacing w:before="60" w:beforeAutospacing="0" w:after="60" w:afterAutospacing="0"/>
        <w:ind w:left="0" w:right="0" w:firstLine="0"/>
        <w:jc w:val="left"/>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 1.2投标人应按正规销售渠道供货，保证采购人能享受原厂或原厂认可的售 后维修机构的售 后服务。投标人所提供的服务应符合国家相关法律法规。投标人提供的产品中如有配套使用的相关软件，必须是正版的、合法的。</w:t>
      </w:r>
    </w:p>
    <w:p>
      <w:pPr>
        <w:pStyle w:val="7"/>
        <w:keepNext w:val="0"/>
        <w:keepLines w:val="0"/>
        <w:widowControl/>
        <w:suppressLineNumbers w:val="0"/>
        <w:spacing w:before="60" w:beforeAutospacing="0" w:after="60" w:afterAutospacing="0"/>
        <w:ind w:left="0" w:right="0" w:firstLine="0"/>
        <w:jc w:val="left"/>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 1.3投标人须保障采购人在使用该货物或其任何一部分时不受到第三方关于侵犯专 利权、商 标权或工业设 计权等知识产权的指控，任何第三方如果提出此方面指控均与招标采购单位无关，投标人应与第三方交涉，并承担可能发生的一切法律责任、费用和后果；若招标采购单位因此而遭致损失的，投标人应赔偿该损失。</w:t>
      </w:r>
    </w:p>
    <w:p>
      <w:pPr>
        <w:pStyle w:val="7"/>
        <w:keepNext w:val="0"/>
        <w:keepLines w:val="0"/>
        <w:widowControl/>
        <w:suppressLineNumbers w:val="0"/>
        <w:spacing w:before="60" w:beforeAutospacing="0" w:after="60" w:afterAutospacing="0"/>
        <w:ind w:left="0" w:right="0" w:firstLine="0"/>
        <w:jc w:val="left"/>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投标人中 标后提供的产品不满足本条款要求的，采购人将拒绝验收，由此带来的一切损失将由中标人负责。</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cstheme="minorEastAsia"/>
          <w:spacing w:val="0"/>
          <w:sz w:val="21"/>
          <w:szCs w:val="21"/>
          <w:highlight w:val="none"/>
          <w:lang w:val="en-US" w:eastAsia="zh-CN"/>
        </w:rPr>
        <w:t>9</w:t>
      </w:r>
      <w:r>
        <w:rPr>
          <w:rFonts w:hint="eastAsia" w:asciiTheme="minorEastAsia" w:hAnsiTheme="minorEastAsia" w:eastAsiaTheme="minorEastAsia" w:cstheme="minorEastAsia"/>
          <w:spacing w:val="0"/>
          <w:sz w:val="21"/>
          <w:szCs w:val="21"/>
          <w:highlight w:val="none"/>
        </w:rPr>
        <w:t>、货物包装方式</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1.1包装：货物交货时应按国家有关标准要求进行包装。</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1.2方式：包装必须与运输方式相适应，包装方式的确定及包装费用均由中标供应 商负责；由于不适当的包装而造成货物在运输过程中有任何损坏由中标供应 商负责。</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注：包装应足以承受整个过程中的运输、转运、装卸、储存等，充分考虑到运输途中的各种情况(如暴露于恶劣气候等)和项目所在地的气候特点，以及露天存放的需要。</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cstheme="minorEastAsia"/>
          <w:spacing w:val="0"/>
          <w:sz w:val="21"/>
          <w:szCs w:val="21"/>
          <w:highlight w:val="none"/>
          <w:lang w:val="en-US" w:eastAsia="zh-CN"/>
        </w:rPr>
        <w:t>10</w:t>
      </w:r>
      <w:r>
        <w:rPr>
          <w:rFonts w:hint="eastAsia" w:asciiTheme="minorEastAsia" w:hAnsiTheme="minorEastAsia" w:eastAsiaTheme="minorEastAsia" w:cstheme="minorEastAsia"/>
          <w:spacing w:val="0"/>
          <w:sz w:val="21"/>
          <w:szCs w:val="21"/>
          <w:highlight w:val="none"/>
        </w:rPr>
        <w:t>、技术服务要求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1.1安装和调试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1.1.1 中标人应在接到采购人通知的3天内派技术人员到现场安装，并负责调试至合格。</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1.1.2 中标人应在合同规定的安装调试期内完成该项工作。如因中标人责任而造成延期，所有因延期而产生的费用由中标人承担。</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2.1 技术培训</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2.1.1 根据新仪器设备特点及技术要求，中标人应派专业技术人员对采购人的技术人员进行使用操作、设备维修、保养等技术的现场培训，直至采购人的技术人员能熟练独立工作。所需费用均由中标人承担。</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3.1 维保服务</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3.1.1 所投设备应在中国境内设有生产厂家售后 服务机构，提供售后 服务机构名 称、地址、电话、维修力量及水平和服务内容。</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3.1.2 质保期（保修期）：合同包1保修期≥</w:t>
      </w:r>
      <w:r>
        <w:rPr>
          <w:rFonts w:hint="eastAsia" w:asciiTheme="minorEastAsia" w:hAnsiTheme="minorEastAsia" w:cstheme="minorEastAsia"/>
          <w:spacing w:val="0"/>
          <w:sz w:val="21"/>
          <w:szCs w:val="21"/>
          <w:highlight w:val="none"/>
          <w:lang w:val="en-US" w:eastAsia="zh-CN"/>
        </w:rPr>
        <w:t>1</w:t>
      </w:r>
      <w:r>
        <w:rPr>
          <w:rFonts w:hint="eastAsia" w:asciiTheme="minorEastAsia" w:hAnsiTheme="minorEastAsia" w:eastAsiaTheme="minorEastAsia" w:cstheme="minorEastAsia"/>
          <w:spacing w:val="0"/>
          <w:sz w:val="21"/>
          <w:szCs w:val="21"/>
          <w:highlight w:val="none"/>
        </w:rPr>
        <w:t>年</w:t>
      </w:r>
      <w:r>
        <w:rPr>
          <w:rFonts w:hint="eastAsia" w:asciiTheme="minorEastAsia" w:hAnsiTheme="minorEastAsia" w:cstheme="minorEastAsia"/>
          <w:spacing w:val="0"/>
          <w:sz w:val="21"/>
          <w:szCs w:val="21"/>
          <w:highlight w:val="none"/>
          <w:lang w:eastAsia="zh-CN"/>
        </w:rPr>
        <w:t>（</w:t>
      </w:r>
      <w:r>
        <w:rPr>
          <w:rFonts w:hint="eastAsia" w:asciiTheme="minorEastAsia" w:hAnsiTheme="minorEastAsia" w:cstheme="minorEastAsia"/>
          <w:spacing w:val="0"/>
          <w:sz w:val="21"/>
          <w:szCs w:val="21"/>
          <w:highlight w:val="none"/>
          <w:lang w:val="en-US" w:eastAsia="zh-CN"/>
        </w:rPr>
        <w:t>招标文件第五章“</w:t>
      </w:r>
      <w:r>
        <w:rPr>
          <w:rFonts w:hint="eastAsia" w:asciiTheme="minorEastAsia" w:hAnsiTheme="minorEastAsia" w:eastAsiaTheme="minorEastAsia" w:cstheme="minorEastAsia"/>
          <w:spacing w:val="0"/>
          <w:sz w:val="21"/>
          <w:szCs w:val="21"/>
          <w:highlight w:val="none"/>
        </w:rPr>
        <w:t>二、技术和服务要求</w:t>
      </w:r>
      <w:r>
        <w:rPr>
          <w:rFonts w:hint="eastAsia" w:asciiTheme="minorEastAsia" w:hAnsiTheme="minorEastAsia" w:cstheme="minorEastAsia"/>
          <w:spacing w:val="0"/>
          <w:sz w:val="21"/>
          <w:szCs w:val="21"/>
          <w:highlight w:val="none"/>
          <w:lang w:eastAsia="zh-CN"/>
        </w:rPr>
        <w:t>”</w:t>
      </w:r>
      <w:r>
        <w:rPr>
          <w:rFonts w:hint="eastAsia" w:asciiTheme="minorEastAsia" w:hAnsiTheme="minorEastAsia" w:cstheme="minorEastAsia"/>
          <w:spacing w:val="0"/>
          <w:sz w:val="21"/>
          <w:szCs w:val="21"/>
          <w:highlight w:val="none"/>
          <w:lang w:val="en-US" w:eastAsia="zh-CN"/>
        </w:rPr>
        <w:t>中另有要求的从其规定）</w:t>
      </w:r>
      <w:r>
        <w:rPr>
          <w:rFonts w:hint="eastAsia" w:asciiTheme="minorEastAsia" w:hAnsiTheme="minorEastAsia" w:eastAsiaTheme="minorEastAsia" w:cstheme="minorEastAsia"/>
          <w:spacing w:val="0"/>
          <w:sz w:val="21"/>
          <w:szCs w:val="21"/>
          <w:highlight w:val="none"/>
        </w:rPr>
        <w:t>；质保期（保修期）从货物最终验收合格后起计算。在质保期内，若机件损坏，中标人应更换损坏的零部件，修理费用由中标人负责。</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3.1.3 设备运行发生故障时，中标人在接到采购人故障通知后须在2小时内回复处理方法。如无法及时排除，</w:t>
      </w:r>
      <w:r>
        <w:rPr>
          <w:rFonts w:hint="eastAsia" w:asciiTheme="minorEastAsia" w:hAnsiTheme="minorEastAsia" w:cstheme="minorEastAsia"/>
          <w:spacing w:val="0"/>
          <w:sz w:val="21"/>
          <w:szCs w:val="21"/>
          <w:highlight w:val="none"/>
          <w:lang w:val="en-US" w:eastAsia="zh-CN"/>
        </w:rPr>
        <w:t>8</w:t>
      </w:r>
      <w:r>
        <w:rPr>
          <w:rFonts w:hint="eastAsia" w:asciiTheme="minorEastAsia" w:hAnsiTheme="minorEastAsia" w:eastAsiaTheme="minorEastAsia" w:cstheme="minorEastAsia"/>
          <w:spacing w:val="0"/>
          <w:sz w:val="21"/>
          <w:szCs w:val="21"/>
          <w:highlight w:val="none"/>
        </w:rPr>
        <w:t>小时内应委派专业工程师到现场维修。如一时无法修复，中标人则应提供备品供采购人临时使用。其中发生一切费用由</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承担。保修期内如同一故障发生三次，或在2月内无法修复，</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无条件换货，立即更换新机，如保修期内因故障停机，按停机时间的双倍顺延保修期。</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3.1.</w:t>
      </w:r>
      <w:r>
        <w:rPr>
          <w:rFonts w:hint="eastAsia" w:asciiTheme="minorEastAsia" w:hAnsiTheme="minorEastAsia" w:cstheme="minorEastAsia"/>
          <w:spacing w:val="0"/>
          <w:sz w:val="21"/>
          <w:szCs w:val="21"/>
          <w:highlight w:val="none"/>
          <w:lang w:val="en-US" w:eastAsia="zh-CN"/>
        </w:rPr>
        <w:t>4</w:t>
      </w:r>
      <w:r>
        <w:rPr>
          <w:rFonts w:hint="eastAsia" w:asciiTheme="minorEastAsia" w:hAnsiTheme="minorEastAsia" w:eastAsiaTheme="minorEastAsia" w:cstheme="minorEastAsia"/>
          <w:spacing w:val="0"/>
          <w:sz w:val="21"/>
          <w:szCs w:val="21"/>
          <w:highlight w:val="none"/>
        </w:rPr>
        <w:t>为保证</w:t>
      </w:r>
      <w:r>
        <w:rPr>
          <w:rFonts w:hint="eastAsia" w:asciiTheme="minorEastAsia" w:hAnsiTheme="minorEastAsia" w:cstheme="minorEastAsia"/>
          <w:spacing w:val="0"/>
          <w:sz w:val="21"/>
          <w:szCs w:val="21"/>
          <w:highlight w:val="none"/>
          <w:lang w:val="en-US" w:eastAsia="zh-CN"/>
        </w:rPr>
        <w:t>采购人</w:t>
      </w:r>
      <w:r>
        <w:rPr>
          <w:rFonts w:hint="eastAsia" w:asciiTheme="minorEastAsia" w:hAnsiTheme="minorEastAsia" w:eastAsiaTheme="minorEastAsia" w:cstheme="minorEastAsia"/>
          <w:spacing w:val="0"/>
          <w:sz w:val="21"/>
          <w:szCs w:val="21"/>
          <w:highlight w:val="none"/>
        </w:rPr>
        <w:t>设备的正常运行，</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应根据设备运行状况提供每年4次以上的定期预防性维护保养,并提供详细检测内容和检测清单的维修报告。设备发生故障维修及保养事件，必须到设备部门备案登记。维护保养的次数与内容、更换维修备件的数目需详细记录，相关文件交</w:t>
      </w:r>
      <w:r>
        <w:rPr>
          <w:rFonts w:hint="eastAsia" w:asciiTheme="minorEastAsia" w:hAnsiTheme="minorEastAsia" w:cstheme="minorEastAsia"/>
          <w:spacing w:val="0"/>
          <w:sz w:val="21"/>
          <w:szCs w:val="21"/>
          <w:highlight w:val="none"/>
          <w:lang w:val="en-US" w:eastAsia="zh-CN"/>
        </w:rPr>
        <w:t>才采购人</w:t>
      </w:r>
      <w:r>
        <w:rPr>
          <w:rFonts w:hint="eastAsia" w:asciiTheme="minorEastAsia" w:hAnsiTheme="minorEastAsia" w:eastAsiaTheme="minorEastAsia" w:cstheme="minorEastAsia"/>
          <w:spacing w:val="0"/>
          <w:sz w:val="21"/>
          <w:szCs w:val="21"/>
          <w:highlight w:val="none"/>
        </w:rPr>
        <w:t>存档。</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视自身能力在投标文件中提供更优、更合理的维修服务承诺。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3.1.</w:t>
      </w:r>
      <w:r>
        <w:rPr>
          <w:rFonts w:hint="eastAsia" w:asciiTheme="minorEastAsia" w:hAnsiTheme="minorEastAsia" w:cstheme="minorEastAsia"/>
          <w:spacing w:val="0"/>
          <w:sz w:val="21"/>
          <w:szCs w:val="21"/>
          <w:highlight w:val="none"/>
          <w:lang w:val="en-US" w:eastAsia="zh-CN"/>
        </w:rPr>
        <w:t>5</w:t>
      </w:r>
      <w:r>
        <w:rPr>
          <w:rFonts w:hint="eastAsia" w:asciiTheme="minorEastAsia" w:hAnsiTheme="minorEastAsia" w:eastAsiaTheme="minorEastAsia" w:cstheme="minorEastAsia"/>
          <w:spacing w:val="0"/>
          <w:sz w:val="21"/>
          <w:szCs w:val="21"/>
          <w:highlight w:val="none"/>
        </w:rPr>
        <w:t>免费保修即将到期前，</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需对设备做全面巡检保养，保证设备的正常工作状态，并完成巡检报告交</w:t>
      </w:r>
      <w:r>
        <w:rPr>
          <w:rFonts w:hint="eastAsia" w:asciiTheme="minorEastAsia" w:hAnsiTheme="minorEastAsia" w:cstheme="minorEastAsia"/>
          <w:spacing w:val="0"/>
          <w:sz w:val="21"/>
          <w:szCs w:val="21"/>
          <w:highlight w:val="none"/>
          <w:lang w:val="en-US" w:eastAsia="zh-CN"/>
        </w:rPr>
        <w:t>采购人</w:t>
      </w:r>
      <w:r>
        <w:rPr>
          <w:rFonts w:hint="eastAsia" w:asciiTheme="minorEastAsia" w:hAnsiTheme="minorEastAsia" w:eastAsiaTheme="minorEastAsia" w:cstheme="minorEastAsia"/>
          <w:spacing w:val="0"/>
          <w:sz w:val="21"/>
          <w:szCs w:val="21"/>
          <w:highlight w:val="none"/>
        </w:rPr>
        <w:t>存档。</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4.1 验收标准和验收方法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4.1.1 验收标准：设备按厂家产品验收标准及招标文件第五章“招标内容及要求”进行验收。产品质量达到设 计要求，安装调试各项指标符合验收标准要求。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4.1.2 验收程序：货物验收分中标人出厂检验、安装调试检验及最终验收三个阶段。</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a. 出厂检验</w:t>
      </w:r>
    </w:p>
    <w:p>
      <w:pPr>
        <w:pStyle w:val="7"/>
        <w:keepNext w:val="0"/>
        <w:keepLines w:val="0"/>
        <w:widowControl/>
        <w:suppressLineNumbers w:val="0"/>
        <w:spacing w:before="60" w:beforeAutospacing="0" w:after="60" w:afterAutospacing="0"/>
        <w:ind w:left="0" w:right="0" w:firstLine="420" w:firstLineChars="20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中标人在货物出厂前，应按产品技术标准规定的检验项目和试验方法进行全面检验，中标人应随同货物提供出厂检验报告、合格证书、装箱单，结果必须符合4.1验收标准的要求。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b. 安装调试检验</w:t>
      </w:r>
    </w:p>
    <w:p>
      <w:pPr>
        <w:pStyle w:val="7"/>
        <w:keepNext w:val="0"/>
        <w:keepLines w:val="0"/>
        <w:widowControl/>
        <w:suppressLineNumbers w:val="0"/>
        <w:spacing w:before="60" w:beforeAutospacing="0" w:after="60" w:afterAutospacing="0"/>
        <w:ind w:left="0" w:right="0" w:firstLine="420" w:firstLineChars="20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设备安装、调试过程，中标人应作详细检验记录。安装调试检验结果应符合制造厂产品标准和招标文件第五章“招标内容及要求”规定。检验记录应真实并提供给采购人。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c. 最终验收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⑴ 设备安装、调试结束后，由中标人负责并会同采购人及有关专家按4.1条规定的标准要求进行联合验收。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⑵ 最终验收所发生的一切费用由中标人承担。</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w:t>
      </w:r>
      <w:r>
        <w:rPr>
          <w:rFonts w:hint="eastAsia" w:asciiTheme="minorEastAsia" w:hAnsiTheme="minorEastAsia" w:cstheme="minorEastAsia"/>
          <w:spacing w:val="0"/>
          <w:sz w:val="21"/>
          <w:szCs w:val="21"/>
          <w:highlight w:val="none"/>
          <w:lang w:val="en-US" w:eastAsia="zh-CN"/>
        </w:rPr>
        <w:t>1</w:t>
      </w:r>
      <w:r>
        <w:rPr>
          <w:rFonts w:hint="eastAsia" w:asciiTheme="minorEastAsia" w:hAnsiTheme="minorEastAsia" w:eastAsiaTheme="minorEastAsia" w:cstheme="minorEastAsia"/>
          <w:spacing w:val="0"/>
          <w:sz w:val="21"/>
          <w:szCs w:val="21"/>
          <w:highlight w:val="none"/>
        </w:rPr>
        <w:t>、技术资料要求</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中标人应向采购人提供中标设备的中文资料两套，其费用包括在投标价格中：</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a. 产品验收标准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b. 技术说明书</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c. 使用说明书</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d. 设备安装，调试、维修线路原理图</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e. 零部件目录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f. 备品备件、易损件清单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g. 安装、维修及操作手册</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h. 合同中要求的其他文件资料</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w:t>
      </w:r>
      <w:r>
        <w:rPr>
          <w:rFonts w:hint="eastAsia" w:asciiTheme="minorEastAsia" w:hAnsiTheme="minorEastAsia" w:cstheme="minorEastAsia"/>
          <w:spacing w:val="0"/>
          <w:sz w:val="21"/>
          <w:szCs w:val="21"/>
          <w:highlight w:val="none"/>
          <w:lang w:val="en-US" w:eastAsia="zh-CN"/>
        </w:rPr>
        <w:t>2</w:t>
      </w:r>
      <w:r>
        <w:rPr>
          <w:rFonts w:hint="eastAsia" w:asciiTheme="minorEastAsia" w:hAnsiTheme="minorEastAsia" w:eastAsiaTheme="minorEastAsia" w:cstheme="minorEastAsia"/>
          <w:spacing w:val="0"/>
          <w:sz w:val="21"/>
          <w:szCs w:val="21"/>
          <w:highlight w:val="none"/>
        </w:rPr>
        <w:t>、专用工具</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中标人应提供一套维修所需的专用工具及其清单。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w:t>
      </w:r>
      <w:r>
        <w:rPr>
          <w:rFonts w:hint="eastAsia" w:asciiTheme="minorEastAsia" w:hAnsiTheme="minorEastAsia" w:cstheme="minorEastAsia"/>
          <w:spacing w:val="0"/>
          <w:sz w:val="21"/>
          <w:szCs w:val="21"/>
          <w:highlight w:val="none"/>
          <w:lang w:val="en-US" w:eastAsia="zh-CN"/>
        </w:rPr>
        <w:t>3</w:t>
      </w:r>
      <w:r>
        <w:rPr>
          <w:rFonts w:hint="eastAsia" w:asciiTheme="minorEastAsia" w:hAnsiTheme="minorEastAsia" w:eastAsiaTheme="minorEastAsia" w:cstheme="minorEastAsia"/>
          <w:spacing w:val="0"/>
          <w:sz w:val="21"/>
          <w:szCs w:val="21"/>
          <w:highlight w:val="none"/>
        </w:rPr>
        <w:t>、备品备件</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中标人应提供设备在质量保证期过后一年内所需的备品备件及其清单（含价格清单）。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w:t>
      </w:r>
      <w:r>
        <w:rPr>
          <w:rFonts w:hint="eastAsia" w:asciiTheme="minorEastAsia" w:hAnsiTheme="minorEastAsia" w:cstheme="minorEastAsia"/>
          <w:spacing w:val="0"/>
          <w:sz w:val="21"/>
          <w:szCs w:val="21"/>
          <w:highlight w:val="none"/>
          <w:lang w:val="en-US" w:eastAsia="zh-CN"/>
        </w:rPr>
        <w:t>4</w:t>
      </w:r>
      <w:r>
        <w:rPr>
          <w:rFonts w:hint="eastAsia" w:asciiTheme="minorEastAsia" w:hAnsiTheme="minorEastAsia" w:eastAsiaTheme="minorEastAsia" w:cstheme="minorEastAsia"/>
          <w:spacing w:val="0"/>
          <w:sz w:val="21"/>
          <w:szCs w:val="21"/>
          <w:highlight w:val="none"/>
        </w:rPr>
        <w:t>、其他</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1.1本项目不允许中标人以任何名义和理由进行转包，如有发现，采购人有权单方终止合同，且投标人必须赔偿由此给业主带来的一切损失。</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1.2采购人在授予合同时有权对本次采购的货物数量和服务进行部分调整。</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1.3</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安装结束后应在规定的交付使用时间之前将废物移离现场，清理妥当，费用由</w:t>
      </w:r>
      <w:r>
        <w:rPr>
          <w:rFonts w:hint="eastAsia" w:asciiTheme="minorEastAsia" w:hAnsiTheme="minorEastAsia" w:cstheme="minorEastAsia"/>
          <w:spacing w:val="0"/>
          <w:sz w:val="21"/>
          <w:szCs w:val="21"/>
          <w:highlight w:val="none"/>
          <w:lang w:val="en-US" w:eastAsia="zh-CN"/>
        </w:rPr>
        <w:t>中标人</w:t>
      </w:r>
      <w:r>
        <w:rPr>
          <w:rFonts w:hint="eastAsia" w:asciiTheme="minorEastAsia" w:hAnsiTheme="minorEastAsia" w:eastAsiaTheme="minorEastAsia" w:cstheme="minorEastAsia"/>
          <w:spacing w:val="0"/>
          <w:sz w:val="21"/>
          <w:szCs w:val="21"/>
          <w:highlight w:val="none"/>
        </w:rPr>
        <w:t>负责。</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w:t>
      </w:r>
      <w:r>
        <w:rPr>
          <w:rFonts w:hint="eastAsia" w:asciiTheme="minorEastAsia" w:hAnsiTheme="minorEastAsia" w:cstheme="minorEastAsia"/>
          <w:spacing w:val="0"/>
          <w:sz w:val="21"/>
          <w:szCs w:val="21"/>
          <w:highlight w:val="none"/>
          <w:lang w:val="en-US" w:eastAsia="zh-CN"/>
        </w:rPr>
        <w:t>5</w:t>
      </w:r>
      <w:r>
        <w:rPr>
          <w:rFonts w:hint="eastAsia" w:asciiTheme="minorEastAsia" w:hAnsiTheme="minorEastAsia" w:eastAsiaTheme="minorEastAsia" w:cstheme="minorEastAsia"/>
          <w:spacing w:val="0"/>
          <w:sz w:val="21"/>
          <w:szCs w:val="21"/>
          <w:highlight w:val="none"/>
        </w:rPr>
        <w:t>、违约责任</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1.1因中标人原因造成采购合同无法按时签订的，视为中标人违约，对采购人造成的损失的，中标人还需另行支付相应的赔偿。</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1.2在签定采购合同之后，有下列情形之一的，将视为中标人违约，采购人有权从履约保证金中取得补偿（如有提交履约保证金的），并可进一步提出追索和索赔：</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1.2.1中标人提供的产品实际情况与投标文件响应不符，或未按合同规定的质量要求交货的，采购人有权拒收，由此造成的直接损失和间接损失由中标人赔偿；</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1.2.2中标人提供的产品不是原装正品或来源渠道不合法、不合规，不能享受原厂或原厂认可的售后维修机构售 后服 务的；</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1.2.3中标人逾期交货的或在规定的时间内验收不合格的，采购人有权单方终止合同。</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1.2.4中标人不能交货或不能完成合同的（不可抗力因素造成的除外），中标人应双倍返还</w:t>
      </w:r>
      <w:r>
        <w:rPr>
          <w:rFonts w:hint="eastAsia" w:asciiTheme="minorEastAsia" w:hAnsiTheme="minorEastAsia" w:cstheme="minorEastAsia"/>
          <w:spacing w:val="0"/>
          <w:sz w:val="21"/>
          <w:szCs w:val="21"/>
          <w:highlight w:val="none"/>
          <w:lang w:val="en-US" w:eastAsia="zh-CN"/>
        </w:rPr>
        <w:t>采购人</w:t>
      </w:r>
      <w:r>
        <w:rPr>
          <w:rFonts w:hint="eastAsia" w:asciiTheme="minorEastAsia" w:hAnsiTheme="minorEastAsia" w:eastAsiaTheme="minorEastAsia" w:cstheme="minorEastAsia"/>
          <w:spacing w:val="0"/>
          <w:sz w:val="21"/>
          <w:szCs w:val="21"/>
          <w:highlight w:val="none"/>
        </w:rPr>
        <w:t>支付的定金；</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1.2.5中标人未能按合同规定履行其义务的；</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1.2.6在签定采购合同之后，中标人要求解除合同的；</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1.3本合同所有设备、材料的制造、安装及服务，都必须由中标人自己或在投标文件中明确的单位承担，不得以任何名义和理由进行分包或转包。如有发现，视为中标人违约，采购人有权单方终止合同，对采购人造成损失的，需另行支付相应的赔偿。</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1.4 中标人履行义务不符合合同约定时，采购人有权扣减尾款。</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1.5 因中标人原因发生重大质量事故，除依约承担赔偿责任外，还将按有关质量管理办法规定执行。同时，采购人有权保留更换中标人的权利，并报相关行政主管部门处罚。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1.6 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1.7在明确违约责任后，中标人应在接到书面通知书起七天内支付违约金、赔偿金等。</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1.8招标文件未明确的其它约定事项或条款，待采购人与中标人签订合同时，由双方协商订。</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lang w:val="en-US" w:eastAsia="zh-CN"/>
        </w:rPr>
      </w:pP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lang w:val="en-US" w:eastAsia="zh-CN"/>
        </w:rPr>
        <w:t>16.</w:t>
      </w:r>
      <w:r>
        <w:rPr>
          <w:rFonts w:hint="eastAsia" w:asciiTheme="minorEastAsia" w:hAnsiTheme="minorEastAsia" w:eastAsiaTheme="minorEastAsia" w:cstheme="minorEastAsia"/>
          <w:spacing w:val="0"/>
          <w:sz w:val="21"/>
          <w:szCs w:val="21"/>
          <w:highlight w:val="none"/>
        </w:rPr>
        <w:t>本标书中未明之处，欢迎进行必要的咨询和详细补充说明。</w:t>
      </w:r>
    </w:p>
    <w:p>
      <w:pPr>
        <w:pStyle w:val="7"/>
        <w:keepNext w:val="0"/>
        <w:keepLines w:val="0"/>
        <w:widowControl/>
        <w:suppressLineNumbers w:val="0"/>
        <w:rPr>
          <w:highlight w:val="none"/>
        </w:rPr>
      </w:pP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四、其他事项</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1、除招标文件另有规定外，若出现有关法律、法规和规章有强制性规定但招标文件未列明的情形，则投标人应按照有关法律、法规和规章强制性规定执行。</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2、其他：</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1）投标人应提供其投标货物的产品介绍彩册（页），或提供有效的国际认证机构的证明材料。招标人有权要求投标人提供最新的原版Data Sheet技术资料（技术白皮书）。若有虚假应标，一经查出即作废标处理。</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pacing w:val="0"/>
          <w:sz w:val="21"/>
          <w:szCs w:val="21"/>
          <w:highlight w:val="none"/>
        </w:rPr>
      </w:pPr>
      <w:r>
        <w:rPr>
          <w:rFonts w:hint="eastAsia" w:asciiTheme="minorEastAsia" w:hAnsiTheme="minorEastAsia" w:eastAsiaTheme="minorEastAsia" w:cstheme="minorEastAsia"/>
          <w:spacing w:val="0"/>
          <w:sz w:val="21"/>
          <w:szCs w:val="21"/>
          <w:highlight w:val="none"/>
        </w:rPr>
        <w:t>2）列明选配件清单及单价（如有时）。 </w:t>
      </w:r>
    </w:p>
    <w:p>
      <w:pPr>
        <w:pStyle w:val="7"/>
        <w:keepNext w:val="0"/>
        <w:keepLines w:val="0"/>
        <w:widowControl/>
        <w:suppressLineNumbers w:val="0"/>
        <w:spacing w:before="60" w:beforeAutospacing="0" w:after="60" w:afterAutospacing="0"/>
        <w:ind w:left="0" w:right="0" w:firstLine="0"/>
        <w:rPr>
          <w:sz w:val="21"/>
          <w:szCs w:val="21"/>
          <w:highlight w:val="none"/>
        </w:rPr>
      </w:pPr>
      <w:r>
        <w:rPr>
          <w:rFonts w:hint="default" w:asciiTheme="minorEastAsia" w:hAnsiTheme="minorEastAsia" w:eastAsiaTheme="minorEastAsia" w:cstheme="minorEastAsia"/>
          <w:spacing w:val="0"/>
          <w:sz w:val="21"/>
          <w:szCs w:val="21"/>
          <w:highlight w:val="none"/>
        </w:rPr>
        <w:t>3</w:t>
      </w:r>
      <w:r>
        <w:rPr>
          <w:rFonts w:hint="eastAsia" w:asciiTheme="minorEastAsia" w:hAnsiTheme="minorEastAsia" w:eastAsiaTheme="minorEastAsia" w:cstheme="minorEastAsia"/>
          <w:spacing w:val="0"/>
          <w:sz w:val="21"/>
          <w:szCs w:val="21"/>
          <w:highlight w:val="none"/>
        </w:rPr>
        <w:t>）投标报价须包含以上设备装卸、搬运就位、安装调试、服务等一切费用。</w:t>
      </w:r>
    </w:p>
    <w:p>
      <w:pPr>
        <w:rPr>
          <w:rStyle w:val="10"/>
          <w:rFonts w:hint="eastAsia" w:ascii="宋体" w:hAnsi="宋体" w:eastAsia="宋体" w:cs="宋体"/>
          <w:b/>
          <w:spacing w:val="0"/>
          <w:sz w:val="25"/>
          <w:szCs w:val="25"/>
          <w:highlight w:val="none"/>
        </w:rPr>
      </w:pPr>
      <w:r>
        <w:rPr>
          <w:rStyle w:val="10"/>
          <w:rFonts w:hint="eastAsia" w:ascii="宋体" w:hAnsi="宋体" w:eastAsia="宋体" w:cs="宋体"/>
          <w:b/>
          <w:spacing w:val="0"/>
          <w:sz w:val="25"/>
          <w:szCs w:val="25"/>
          <w:highlight w:val="none"/>
        </w:rPr>
        <w:br w:type="page"/>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2"/>
          <w:szCs w:val="32"/>
          <w:highlight w:val="none"/>
          <w:lang w:val="en-US" w:eastAsia="zh-CN" w:bidi="ar-SA"/>
        </w:rPr>
      </w:pPr>
      <w:r>
        <w:rPr>
          <w:rFonts w:hint="eastAsia" w:ascii="宋体" w:hAnsi="宋体" w:eastAsia="宋体" w:cs="宋体"/>
          <w:b/>
          <w:bCs/>
          <w:kern w:val="0"/>
          <w:sz w:val="32"/>
          <w:szCs w:val="32"/>
          <w:highlight w:val="none"/>
          <w:lang w:val="en-US" w:eastAsia="zh-CN" w:bidi="ar-SA"/>
        </w:rPr>
        <w:t>第六章   政府采购合同（参考文本）</w:t>
      </w:r>
    </w:p>
    <w:p>
      <w:pPr>
        <w:pStyle w:val="7"/>
        <w:keepNext w:val="0"/>
        <w:keepLines w:val="0"/>
        <w:widowControl/>
        <w:suppressLineNumbers w:val="0"/>
        <w:spacing w:before="60" w:beforeAutospacing="0" w:after="60" w:afterAutospacing="0"/>
        <w:ind w:left="0" w:right="0" w:firstLine="0"/>
        <w:rPr>
          <w:highlight w:val="none"/>
        </w:rPr>
      </w:pPr>
      <w:r>
        <w:rPr>
          <w:rFonts w:hint="eastAsia" w:ascii="宋体" w:hAnsi="宋体" w:eastAsia="宋体" w:cs="宋体"/>
          <w:spacing w:val="0"/>
          <w:sz w:val="19"/>
          <w:szCs w:val="19"/>
          <w:highlight w:val="none"/>
        </w:rPr>
        <w:t> </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编制说明</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1、签订合同应遵守政府采购法、民法典。</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2、签订合同时，采购人与中标人应结合招标文件第五章规定填列相应内容。招标文件第五章已有规定的，双方均不得变更或调整；招标文件第五章未作规定的，双方可通过友好协商进行约定。</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pacing w:val="0"/>
          <w:sz w:val="21"/>
          <w:szCs w:val="21"/>
          <w:highlight w:val="none"/>
        </w:rPr>
        <w:t>3、国家有关部门对若干合同有规范文本的，可使用相应合同文本。</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甲方：</w:t>
      </w:r>
      <w:r>
        <w:rPr>
          <w:rFonts w:hint="eastAsia" w:asciiTheme="minorEastAsia" w:hAnsiTheme="minorEastAsia" w:eastAsiaTheme="minorEastAsia" w:cstheme="minorEastAsia"/>
          <w:spacing w:val="0"/>
          <w:sz w:val="21"/>
          <w:szCs w:val="21"/>
          <w:highlight w:val="none"/>
          <w:u w:val="single"/>
        </w:rPr>
        <w:t>（采购人全称）</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乙方：</w:t>
      </w:r>
      <w:r>
        <w:rPr>
          <w:rFonts w:hint="eastAsia" w:asciiTheme="minorEastAsia" w:hAnsiTheme="minorEastAsia" w:eastAsiaTheme="minorEastAsia" w:cstheme="minorEastAsia"/>
          <w:spacing w:val="0"/>
          <w:sz w:val="21"/>
          <w:szCs w:val="21"/>
          <w:highlight w:val="none"/>
          <w:u w:val="single"/>
        </w:rPr>
        <w:t>（中标人全称）</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根据招标编号为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的</w:t>
      </w:r>
      <w:r>
        <w:rPr>
          <w:rFonts w:hint="eastAsia" w:asciiTheme="minorEastAsia" w:hAnsiTheme="minorEastAsia" w:eastAsiaTheme="minorEastAsia" w:cstheme="minorEastAsia"/>
          <w:spacing w:val="0"/>
          <w:sz w:val="21"/>
          <w:szCs w:val="21"/>
          <w:highlight w:val="none"/>
          <w:u w:val="single"/>
        </w:rPr>
        <w:t>（填写“项目名称”）</w:t>
      </w:r>
      <w:r>
        <w:rPr>
          <w:rFonts w:hint="eastAsia" w:asciiTheme="minorEastAsia" w:hAnsiTheme="minorEastAsia" w:eastAsiaTheme="minorEastAsia" w:cstheme="minorEastAsia"/>
          <w:spacing w:val="0"/>
          <w:sz w:val="21"/>
          <w:szCs w:val="21"/>
          <w:highlight w:val="none"/>
        </w:rPr>
        <w:t>项目（以下简称：“本项目”）的招标结果，乙方为中标人。现经甲乙双方友好协商，就以下事项达成一致并签订本合同：</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1、下列合同文件是构成本合同不可分割的部分：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1.1合同条款；</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1.2招标文件、乙方的投标文件；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1.3其他文件或材料：□无。□</w:t>
      </w:r>
      <w:r>
        <w:rPr>
          <w:rFonts w:hint="eastAsia" w:asciiTheme="minorEastAsia" w:hAnsiTheme="minorEastAsia" w:eastAsiaTheme="minorEastAsia" w:cstheme="minorEastAsia"/>
          <w:color w:val="393939"/>
          <w:spacing w:val="0"/>
          <w:sz w:val="21"/>
          <w:szCs w:val="21"/>
          <w:highlight w:val="none"/>
        </w:rPr>
        <w:t>（若有联合协议或分包意向协议）</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2、合同标的</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（按照实际情况编制填写，可以是表格或文字描述）</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3、合同总金额</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3.1合同总金额为人民币大写：</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元（￥</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4、合同标的交付时间、地点和条件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4.1交付时间：</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4.2交付地点：</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4.3交付条件：</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5、合同标的应符合招标文件、乙方投标文件的规定或约定，具体如下：</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（按照实际情况编制填写，可以是表格或文字描述）</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6、验收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6.1验收应按照招标文件、乙方投标文件的规定或约定进行，具体如下：</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（按照实际情况编制填写，可以是表格或文字描述）</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6.2本项目是否邀请其他投标人参与验收：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□不邀请。□邀请，具体如下：</w:t>
      </w:r>
      <w:r>
        <w:rPr>
          <w:rFonts w:hint="eastAsia" w:asciiTheme="minorEastAsia" w:hAnsiTheme="minorEastAsia" w:eastAsiaTheme="minorEastAsia" w:cstheme="minorEastAsia"/>
          <w:spacing w:val="0"/>
          <w:sz w:val="21"/>
          <w:szCs w:val="21"/>
          <w:highlight w:val="none"/>
          <w:u w:val="single"/>
        </w:rPr>
        <w:t>（按照招标文件规定填写）</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7、合同款项的支付应按照招标文件的规定进行，具体如下：</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（按照实际情况编制填写，可以是表格或文字描述，包括一次性支付或分期支付等）</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8、履约保证金</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□无。□有，具体如下：</w:t>
      </w:r>
      <w:r>
        <w:rPr>
          <w:rFonts w:hint="eastAsia" w:asciiTheme="minorEastAsia" w:hAnsiTheme="minorEastAsia" w:eastAsiaTheme="minorEastAsia" w:cstheme="minorEastAsia"/>
          <w:spacing w:val="0"/>
          <w:sz w:val="21"/>
          <w:szCs w:val="21"/>
          <w:highlight w:val="none"/>
          <w:u w:val="single"/>
        </w:rPr>
        <w:t>（按照招标文件规定填写）</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9、合同有效期</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（按照实际情况编制填写，可以是表格或文字描述）</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10、违约责任</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（按照实际情况编制填写，可以是表格或文字描述）</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11、知识产权</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Theme="minorEastAsia" w:hAnsiTheme="minorEastAsia" w:eastAsiaTheme="minorEastAsia" w:cstheme="minorEastAsia"/>
          <w:spacing w:val="0"/>
          <w:sz w:val="21"/>
          <w:szCs w:val="21"/>
          <w:highlight w:val="none"/>
          <w:u w:val="single"/>
        </w:rPr>
        <w:t>（按照实际情况编制填写）</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12、解决争议的方法</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12.1甲、乙双方协商解决。</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12.2若协商解决不成，则通过下列途径之一解决：</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□提交仲裁委员会仲裁，具体如下：</w:t>
      </w:r>
      <w:r>
        <w:rPr>
          <w:rFonts w:hint="eastAsia" w:asciiTheme="minorEastAsia" w:hAnsiTheme="minorEastAsia" w:eastAsiaTheme="minorEastAsia" w:cstheme="minorEastAsia"/>
          <w:spacing w:val="0"/>
          <w:sz w:val="21"/>
          <w:szCs w:val="21"/>
          <w:highlight w:val="none"/>
          <w:u w:val="single"/>
        </w:rPr>
        <w:t>（按照实际情况编制填写）</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□向人民法院提起诉讼，具体如下：</w:t>
      </w:r>
      <w:r>
        <w:rPr>
          <w:rFonts w:hint="eastAsia" w:asciiTheme="minorEastAsia" w:hAnsiTheme="minorEastAsia" w:eastAsiaTheme="minorEastAsia" w:cstheme="minorEastAsia"/>
          <w:spacing w:val="0"/>
          <w:sz w:val="21"/>
          <w:szCs w:val="21"/>
          <w:highlight w:val="none"/>
          <w:u w:val="single"/>
        </w:rPr>
        <w:t>（按照实际情况编制填写）</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13、不可抗力</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13.2本合同中的不可抗力指不能预见、不能避免、不能克服的客观情况，包括但不限于：自然灾害如地震、台风、洪水、火灾及政府行为、法律规定或其适用的变化或其他任何无法预见、避免或控制的事件。</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14、合同条款</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u w:val="single"/>
        </w:rPr>
        <w:t>（按照实际情况编制填写。招标文件第五章已有规定的，双方均不得变更或调整；招标文件第五章未作规定的，双方可通过友好协商进行约定）</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15、其他约定</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15.1合同文件与本合同具有同等法律效力。</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15.2本合同未尽事宜，双方可另行补充。</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15.3合同生效：自签订之日起生效；通过福建省政府采购网上公开信息系统采用电子形式签订合同的，签订之日以系统记载的双方使用各自CA证书在合同上加盖单位公章或合同章的日期中的最晚时间为准。</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15.4本合同一式</w:t>
      </w:r>
      <w:r>
        <w:rPr>
          <w:rFonts w:hint="eastAsia" w:asciiTheme="minorEastAsia" w:hAnsiTheme="minorEastAsia" w:eastAsiaTheme="minorEastAsia" w:cstheme="minorEastAsia"/>
          <w:spacing w:val="0"/>
          <w:sz w:val="21"/>
          <w:szCs w:val="21"/>
          <w:highlight w:val="none"/>
          <w:u w:val="single"/>
        </w:rPr>
        <w:t>（填写具体份数）</w:t>
      </w:r>
      <w:r>
        <w:rPr>
          <w:rFonts w:hint="eastAsia" w:asciiTheme="minorEastAsia" w:hAnsiTheme="minorEastAsia" w:eastAsiaTheme="minorEastAsia" w:cstheme="minorEastAsia"/>
          <w:spacing w:val="0"/>
          <w:sz w:val="21"/>
          <w:szCs w:val="21"/>
          <w:highlight w:val="none"/>
        </w:rPr>
        <w:t>份，经双方授权代表签字并盖章后生效。甲方、乙方各执</w:t>
      </w:r>
      <w:r>
        <w:rPr>
          <w:rFonts w:hint="eastAsia" w:asciiTheme="minorEastAsia" w:hAnsiTheme="minorEastAsia" w:eastAsiaTheme="minorEastAsia" w:cstheme="minorEastAsia"/>
          <w:spacing w:val="0"/>
          <w:sz w:val="21"/>
          <w:szCs w:val="21"/>
          <w:highlight w:val="none"/>
          <w:u w:val="single"/>
        </w:rPr>
        <w:t>（填写具体份数）</w:t>
      </w:r>
      <w:r>
        <w:rPr>
          <w:rFonts w:hint="eastAsia" w:asciiTheme="minorEastAsia" w:hAnsiTheme="minorEastAsia" w:eastAsiaTheme="minorEastAsia" w:cstheme="minorEastAsia"/>
          <w:spacing w:val="0"/>
          <w:sz w:val="21"/>
          <w:szCs w:val="21"/>
          <w:highlight w:val="none"/>
        </w:rPr>
        <w:t>份，送</w:t>
      </w:r>
      <w:r>
        <w:rPr>
          <w:rFonts w:hint="eastAsia" w:asciiTheme="minorEastAsia" w:hAnsiTheme="minorEastAsia" w:eastAsiaTheme="minorEastAsia" w:cstheme="minorEastAsia"/>
          <w:spacing w:val="0"/>
          <w:sz w:val="21"/>
          <w:szCs w:val="21"/>
          <w:highlight w:val="none"/>
          <w:u w:val="single"/>
        </w:rPr>
        <w:t>（填写需要备案的监管部门的全称）</w:t>
      </w:r>
      <w:r>
        <w:rPr>
          <w:rFonts w:hint="eastAsia" w:asciiTheme="minorEastAsia" w:hAnsiTheme="minorEastAsia" w:eastAsiaTheme="minorEastAsia" w:cstheme="minorEastAsia"/>
          <w:spacing w:val="0"/>
          <w:sz w:val="21"/>
          <w:szCs w:val="21"/>
          <w:highlight w:val="none"/>
        </w:rPr>
        <w:t>备案</w:t>
      </w:r>
      <w:r>
        <w:rPr>
          <w:rFonts w:hint="eastAsia" w:asciiTheme="minorEastAsia" w:hAnsiTheme="minorEastAsia" w:eastAsiaTheme="minorEastAsia" w:cstheme="minorEastAsia"/>
          <w:spacing w:val="0"/>
          <w:sz w:val="21"/>
          <w:szCs w:val="21"/>
          <w:highlight w:val="none"/>
          <w:u w:val="single"/>
        </w:rPr>
        <w:t>（填写具体份数）</w:t>
      </w:r>
      <w:r>
        <w:rPr>
          <w:rFonts w:hint="eastAsia" w:asciiTheme="minorEastAsia" w:hAnsiTheme="minorEastAsia" w:eastAsiaTheme="minorEastAsia" w:cstheme="minorEastAsia"/>
          <w:spacing w:val="0"/>
          <w:sz w:val="21"/>
          <w:szCs w:val="21"/>
          <w:highlight w:val="none"/>
        </w:rPr>
        <w:t>份，具有同等效力。</w:t>
      </w:r>
    </w:p>
    <w:p>
      <w:pPr>
        <w:pStyle w:val="7"/>
        <w:keepNext w:val="0"/>
        <w:keepLines w:val="0"/>
        <w:widowControl/>
        <w:suppressLineNumbers w:val="0"/>
        <w:spacing w:before="60" w:beforeAutospacing="0" w:after="6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15.5其他：□无。□</w:t>
      </w:r>
      <w:r>
        <w:rPr>
          <w:rFonts w:hint="eastAsia" w:asciiTheme="minorEastAsia" w:hAnsiTheme="minorEastAsia" w:eastAsiaTheme="minorEastAsia" w:cstheme="minorEastAsia"/>
          <w:spacing w:val="0"/>
          <w:sz w:val="21"/>
          <w:szCs w:val="21"/>
          <w:highlight w:val="none"/>
          <w:u w:val="single"/>
        </w:rPr>
        <w:t>（按照实际情况编制填写需要增加的内容）</w:t>
      </w:r>
      <w:r>
        <w:rPr>
          <w:rFonts w:hint="eastAsia" w:asciiTheme="minorEastAsia" w:hAnsiTheme="minorEastAsia" w:eastAsiaTheme="minorEastAsia" w:cstheme="minorEastAsia"/>
          <w:spacing w:val="0"/>
          <w:sz w:val="21"/>
          <w:szCs w:val="21"/>
          <w:highlight w:val="none"/>
        </w:rPr>
        <w:t>。</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（以下无正文）</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甲方：                                  乙方：</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住所：                                  住所：</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单位负责人：                            单位负责人：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委托代理人：                            委托代理人：</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联系方法：                              联系方法：</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开户银行：                              开户银行：</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账号：                                  账号：</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签订地点：</w:t>
      </w:r>
      <w:r>
        <w:rPr>
          <w:rFonts w:hint="eastAsia" w:asciiTheme="minorEastAsia" w:hAnsiTheme="minorEastAsia" w:eastAsiaTheme="minorEastAsia" w:cstheme="minorEastAsia"/>
          <w:spacing w:val="0"/>
          <w:sz w:val="21"/>
          <w:szCs w:val="21"/>
          <w:highlight w:val="none"/>
          <w:u w:val="singl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签订日期：</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年</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月</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日</w:t>
      </w:r>
    </w:p>
    <w:p>
      <w:pPr>
        <w:pStyle w:val="7"/>
        <w:keepNext w:val="0"/>
        <w:keepLines w:val="0"/>
        <w:widowControl/>
        <w:suppressLineNumbers w:val="0"/>
        <w:spacing w:before="60" w:beforeAutospacing="0" w:after="60" w:afterAutospacing="0"/>
        <w:ind w:left="0" w:right="0" w:firstLine="0"/>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pacing w:val="0"/>
          <w:sz w:val="24"/>
          <w:szCs w:val="24"/>
          <w:highlight w:val="none"/>
        </w:rPr>
        <w:t> </w:t>
      </w:r>
    </w:p>
    <w:p>
      <w:pPr>
        <w:pStyle w:val="7"/>
        <w:keepNext w:val="0"/>
        <w:keepLines w:val="0"/>
        <w:widowControl/>
        <w:suppressLineNumbers w:val="0"/>
        <w:spacing w:before="60" w:beforeAutospacing="0" w:after="192" w:afterAutospacing="0"/>
        <w:ind w:left="0" w:right="0" w:firstLine="0"/>
        <w:rPr>
          <w:highlight w:val="none"/>
        </w:rPr>
      </w:pPr>
      <w:r>
        <w:rPr>
          <w:spacing w:val="0"/>
          <w:sz w:val="19"/>
          <w:szCs w:val="19"/>
          <w:highlight w:val="none"/>
        </w:rPr>
        <w:t> </w:t>
      </w:r>
    </w:p>
    <w:p>
      <w:pPr>
        <w:pStyle w:val="7"/>
        <w:keepNext w:val="0"/>
        <w:keepLines w:val="0"/>
        <w:widowControl/>
        <w:suppressLineNumbers w:val="0"/>
        <w:spacing w:before="60" w:beforeAutospacing="0" w:after="60" w:afterAutospacing="0"/>
        <w:ind w:left="0" w:right="0" w:firstLine="0"/>
        <w:rPr>
          <w:highlight w:val="none"/>
        </w:rPr>
      </w:pPr>
      <w:r>
        <w:rPr>
          <w:rFonts w:hint="default" w:ascii="Calibri" w:hAnsi="Calibri" w:cs="Calibri"/>
          <w:spacing w:val="0"/>
          <w:sz w:val="16"/>
          <w:szCs w:val="16"/>
          <w:highlight w:val="none"/>
        </w:rPr>
        <w:t>                                                                                  </w:t>
      </w:r>
    </w:p>
    <w:p>
      <w:pPr>
        <w:rPr>
          <w:rStyle w:val="10"/>
          <w:rFonts w:hint="eastAsia" w:ascii="宋体" w:hAnsi="宋体" w:eastAsia="宋体" w:cs="宋体"/>
          <w:b/>
          <w:spacing w:val="0"/>
          <w:sz w:val="25"/>
          <w:szCs w:val="25"/>
          <w:highlight w:val="none"/>
        </w:rPr>
      </w:pPr>
      <w:r>
        <w:rPr>
          <w:rStyle w:val="10"/>
          <w:rFonts w:hint="eastAsia" w:ascii="宋体" w:hAnsi="宋体" w:eastAsia="宋体" w:cs="宋体"/>
          <w:b/>
          <w:spacing w:val="0"/>
          <w:sz w:val="25"/>
          <w:szCs w:val="25"/>
          <w:highlight w:val="none"/>
        </w:rPr>
        <w:br w:type="page"/>
      </w:r>
    </w:p>
    <w:p>
      <w:pPr>
        <w:pStyle w:val="7"/>
        <w:keepNext w:val="0"/>
        <w:keepLines w:val="0"/>
        <w:widowControl/>
        <w:suppressLineNumbers w:val="0"/>
        <w:spacing w:before="60" w:beforeAutospacing="0" w:after="60" w:afterAutospacing="0"/>
        <w:ind w:left="0" w:right="0" w:firstLine="0"/>
        <w:jc w:val="center"/>
        <w:rPr>
          <w:rFonts w:hint="eastAsia" w:ascii="宋体" w:hAnsi="宋体" w:eastAsia="宋体" w:cs="宋体"/>
          <w:b/>
          <w:bCs/>
          <w:kern w:val="0"/>
          <w:sz w:val="32"/>
          <w:szCs w:val="32"/>
          <w:highlight w:val="none"/>
          <w:lang w:val="en-US" w:eastAsia="zh-CN" w:bidi="ar-SA"/>
        </w:rPr>
      </w:pPr>
      <w:r>
        <w:rPr>
          <w:rFonts w:hint="eastAsia" w:ascii="宋体" w:hAnsi="宋体" w:eastAsia="宋体" w:cs="宋体"/>
          <w:b/>
          <w:bCs/>
          <w:kern w:val="0"/>
          <w:sz w:val="32"/>
          <w:szCs w:val="32"/>
          <w:highlight w:val="none"/>
          <w:lang w:val="en-US" w:eastAsia="zh-CN" w:bidi="ar-SA"/>
        </w:rPr>
        <w:t>第七章   投标文件格式</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编制说明</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1、除招标文件另有规定外，本章中：</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1.1涉及投标人的</w:t>
      </w:r>
      <w:r>
        <w:rPr>
          <w:rStyle w:val="10"/>
          <w:rFonts w:hint="eastAsia" w:asciiTheme="minorEastAsia" w:hAnsiTheme="minorEastAsia" w:eastAsiaTheme="minorEastAsia" w:cstheme="minorEastAsia"/>
          <w:b/>
          <w:sz w:val="21"/>
          <w:szCs w:val="21"/>
          <w:highlight w:val="none"/>
        </w:rPr>
        <w:t>“全称”</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（1）不接受联合体投标的，指</w:t>
      </w:r>
      <w:r>
        <w:rPr>
          <w:rStyle w:val="10"/>
          <w:rFonts w:hint="eastAsia" w:asciiTheme="minorEastAsia" w:hAnsiTheme="minorEastAsia" w:eastAsiaTheme="minorEastAsia" w:cstheme="minorEastAsia"/>
          <w:b/>
          <w:sz w:val="21"/>
          <w:szCs w:val="21"/>
          <w:highlight w:val="none"/>
        </w:rPr>
        <w:t>投标人的全称</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（2）接受联合体投标且投标人为联合体的，指</w:t>
      </w:r>
      <w:r>
        <w:rPr>
          <w:rStyle w:val="10"/>
          <w:rFonts w:hint="eastAsia" w:asciiTheme="minorEastAsia" w:hAnsiTheme="minorEastAsia" w:eastAsiaTheme="minorEastAsia" w:cstheme="minorEastAsia"/>
          <w:b/>
          <w:sz w:val="21"/>
          <w:szCs w:val="21"/>
          <w:highlight w:val="none"/>
        </w:rPr>
        <w:t>牵头方的全称</w:t>
      </w:r>
      <w:r>
        <w:rPr>
          <w:rFonts w:hint="eastAsia" w:asciiTheme="minorEastAsia" w:hAnsiTheme="minorEastAsia" w:eastAsiaTheme="minorEastAsia" w:cstheme="minorEastAsia"/>
          <w:sz w:val="21"/>
          <w:szCs w:val="21"/>
          <w:highlight w:val="none"/>
        </w:rPr>
        <w:t>并加注</w:t>
      </w:r>
      <w:r>
        <w:rPr>
          <w:rStyle w:val="10"/>
          <w:rFonts w:hint="eastAsia" w:asciiTheme="minorEastAsia" w:hAnsiTheme="minorEastAsia" w:eastAsiaTheme="minorEastAsia" w:cstheme="minorEastAsia"/>
          <w:b/>
          <w:sz w:val="21"/>
          <w:szCs w:val="21"/>
          <w:highlight w:val="none"/>
        </w:rPr>
        <w:t>（联合体牵头方）</w:t>
      </w:r>
      <w:r>
        <w:rPr>
          <w:rFonts w:hint="eastAsia" w:asciiTheme="minorEastAsia" w:hAnsiTheme="minorEastAsia" w:eastAsiaTheme="minorEastAsia" w:cstheme="minorEastAsia"/>
          <w:sz w:val="21"/>
          <w:szCs w:val="21"/>
          <w:highlight w:val="none"/>
        </w:rPr>
        <w:t>，即应表述为：</w:t>
      </w:r>
      <w:r>
        <w:rPr>
          <w:rStyle w:val="10"/>
          <w:rFonts w:hint="eastAsia" w:asciiTheme="minorEastAsia" w:hAnsiTheme="minorEastAsia" w:eastAsiaTheme="minorEastAsia" w:cstheme="minorEastAsia"/>
          <w:b/>
          <w:sz w:val="21"/>
          <w:szCs w:val="21"/>
          <w:highlight w:val="none"/>
        </w:rPr>
        <w:t>“牵头方的全称（联合体牵头方）”</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1.2涉及投标人</w:t>
      </w:r>
      <w:r>
        <w:rPr>
          <w:rStyle w:val="10"/>
          <w:rFonts w:hint="eastAsia" w:asciiTheme="minorEastAsia" w:hAnsiTheme="minorEastAsia" w:eastAsiaTheme="minorEastAsia" w:cstheme="minorEastAsia"/>
          <w:b/>
          <w:sz w:val="21"/>
          <w:szCs w:val="21"/>
          <w:highlight w:val="none"/>
        </w:rPr>
        <w:t>“加盖单位公章”</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（1）不接受联合体投标的，指</w:t>
      </w:r>
      <w:r>
        <w:rPr>
          <w:rStyle w:val="10"/>
          <w:rFonts w:hint="eastAsia" w:asciiTheme="minorEastAsia" w:hAnsiTheme="minorEastAsia" w:eastAsiaTheme="minorEastAsia" w:cstheme="minorEastAsia"/>
          <w:b/>
          <w:sz w:val="21"/>
          <w:szCs w:val="21"/>
          <w:highlight w:val="none"/>
        </w:rPr>
        <w:t>加盖投标人的单位公章</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（2）接受联合体投标且投标人为联合体的，指</w:t>
      </w:r>
      <w:r>
        <w:rPr>
          <w:rStyle w:val="10"/>
          <w:rFonts w:hint="eastAsia" w:asciiTheme="minorEastAsia" w:hAnsiTheme="minorEastAsia" w:eastAsiaTheme="minorEastAsia" w:cstheme="minorEastAsia"/>
          <w:b/>
          <w:sz w:val="21"/>
          <w:szCs w:val="21"/>
          <w:highlight w:val="none"/>
        </w:rPr>
        <w:t>加盖联合体牵头方的单位公章</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1.3涉及</w:t>
      </w:r>
      <w:r>
        <w:rPr>
          <w:rStyle w:val="10"/>
          <w:rFonts w:hint="eastAsia" w:asciiTheme="minorEastAsia" w:hAnsiTheme="minorEastAsia" w:eastAsiaTheme="minorEastAsia" w:cstheme="minorEastAsia"/>
          <w:b/>
          <w:sz w:val="21"/>
          <w:szCs w:val="21"/>
          <w:highlight w:val="none"/>
        </w:rPr>
        <w:t>“投标人代表签字”</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（1）不接受联合体投标的，指由</w:t>
      </w:r>
      <w:r>
        <w:rPr>
          <w:rStyle w:val="10"/>
          <w:rFonts w:hint="eastAsia" w:asciiTheme="minorEastAsia" w:hAnsiTheme="minorEastAsia" w:eastAsiaTheme="minorEastAsia" w:cstheme="minorEastAsia"/>
          <w:b/>
          <w:sz w:val="21"/>
          <w:szCs w:val="21"/>
          <w:highlight w:val="none"/>
        </w:rPr>
        <w:t>投标人的单位负责人或其授权的委托代理人签字</w:t>
      </w:r>
      <w:r>
        <w:rPr>
          <w:rFonts w:hint="eastAsia" w:asciiTheme="minorEastAsia" w:hAnsiTheme="minorEastAsia" w:eastAsiaTheme="minorEastAsia" w:cstheme="minorEastAsia"/>
          <w:sz w:val="21"/>
          <w:szCs w:val="21"/>
          <w:highlight w:val="none"/>
        </w:rPr>
        <w:t>，由委托代理人签字的，应提供“单位负责人授权书”。</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（2）接受联合体投标且投标人为联合体的，指由</w:t>
      </w:r>
      <w:r>
        <w:rPr>
          <w:rStyle w:val="10"/>
          <w:rFonts w:hint="eastAsia" w:asciiTheme="minorEastAsia" w:hAnsiTheme="minorEastAsia" w:eastAsiaTheme="minorEastAsia" w:cstheme="minorEastAsia"/>
          <w:b/>
          <w:sz w:val="21"/>
          <w:szCs w:val="21"/>
          <w:highlight w:val="none"/>
        </w:rPr>
        <w:t>联合体牵头方的单位负责人或其授权的委托代理人签字</w:t>
      </w:r>
      <w:r>
        <w:rPr>
          <w:rFonts w:hint="eastAsia" w:asciiTheme="minorEastAsia" w:hAnsiTheme="minorEastAsia" w:eastAsiaTheme="minorEastAsia" w:cstheme="minorEastAsia"/>
          <w:sz w:val="21"/>
          <w:szCs w:val="21"/>
          <w:highlight w:val="none"/>
        </w:rPr>
        <w:t>，由委托代理人签字的，应提供“单位负责人授权书”。</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1.4</w:t>
      </w:r>
      <w:r>
        <w:rPr>
          <w:rStyle w:val="10"/>
          <w:rFonts w:hint="eastAsia" w:asciiTheme="minorEastAsia" w:hAnsiTheme="minorEastAsia" w:eastAsiaTheme="minorEastAsia" w:cstheme="minorEastAsia"/>
          <w:b/>
          <w:sz w:val="21"/>
          <w:szCs w:val="21"/>
          <w:highlight w:val="none"/>
        </w:rPr>
        <w:t>“其他组织”</w:t>
      </w:r>
      <w:r>
        <w:rPr>
          <w:rFonts w:hint="eastAsia" w:asciiTheme="minorEastAsia" w:hAnsiTheme="minorEastAsia" w:eastAsiaTheme="minorEastAsia" w:cstheme="minorEastAsia"/>
          <w:sz w:val="21"/>
          <w:szCs w:val="21"/>
          <w:highlight w:val="none"/>
        </w:rPr>
        <w:t>指合伙企业、非企业专业服务机构、个体工商户、农村承包经营户等。</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1.5</w:t>
      </w:r>
      <w:r>
        <w:rPr>
          <w:rStyle w:val="10"/>
          <w:rFonts w:hint="eastAsia" w:asciiTheme="minorEastAsia" w:hAnsiTheme="minorEastAsia" w:eastAsiaTheme="minorEastAsia" w:cstheme="minorEastAsia"/>
          <w:b/>
          <w:sz w:val="21"/>
          <w:szCs w:val="21"/>
          <w:highlight w:val="none"/>
        </w:rPr>
        <w:t>“自然人”</w:t>
      </w:r>
      <w:r>
        <w:rPr>
          <w:rFonts w:hint="eastAsia" w:asciiTheme="minorEastAsia" w:hAnsiTheme="minorEastAsia" w:eastAsiaTheme="minorEastAsia" w:cstheme="minorEastAsia"/>
          <w:sz w:val="21"/>
          <w:szCs w:val="21"/>
          <w:highlight w:val="none"/>
        </w:rPr>
        <w:t>指具有完全民事行为能力、能够承担民事责任和义务的中国公民。</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2、除招标文件另有规定外，本章中</w:t>
      </w:r>
      <w:r>
        <w:rPr>
          <w:rStyle w:val="10"/>
          <w:rFonts w:hint="eastAsia" w:asciiTheme="minorEastAsia" w:hAnsiTheme="minorEastAsia" w:eastAsiaTheme="minorEastAsia" w:cstheme="minorEastAsia"/>
          <w:b/>
          <w:sz w:val="21"/>
          <w:szCs w:val="21"/>
          <w:highlight w:val="none"/>
        </w:rPr>
        <w:t>“投标人的资格及资信证明文件”</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2.1投标人应按照招标文件第四章第1.3条第（2）款规定及本章规定进行编制，如有必要，可增加附页，附页作为资格及资信文件的组成部分。</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2.2接受联合体投标且投标人为联合体的，联合体中的各方均应按照本章第2.1条规定提交相应的全部资料。</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3、投标人对投标文件的索引应编制页码。</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4、除招标文件另有规定外，本章中：</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4.2除《检察机关行贿犯罪档案查询结果告知函》外，若投标人提供注明“复印件无效”的证明材料或资料，其纸质投标文件正本中应提供原件。</w:t>
      </w:r>
    </w:p>
    <w:p>
      <w:pPr>
        <w:pStyle w:val="7"/>
        <w:keepNext w:val="0"/>
        <w:keepLines w:val="0"/>
        <w:widowControl/>
        <w:suppressLineNumbers w:val="0"/>
        <w:spacing w:before="0" w:beforeAutospacing="0" w:after="120" w:afterAutospacing="0"/>
        <w:ind w:left="0" w:right="0" w:firstLine="384"/>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4.3《检察机关行贿犯罪档案查询结果告知函》：投标人在纸质投标文件正本中提供原件、复印件（含扫描件）、符合本章规定的打印件（或截图）皆可。</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2"/>
          <w:szCs w:val="22"/>
          <w:highlight w:val="none"/>
        </w:rPr>
        <w:t>封面格式</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38"/>
          <w:szCs w:val="38"/>
          <w:highlight w:val="none"/>
        </w:rPr>
        <w:t>福建省政府采购投标文件</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38"/>
          <w:szCs w:val="38"/>
          <w:highlight w:val="none"/>
        </w:rPr>
        <w:t>（资格及资信证明部分）</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8"/>
          <w:szCs w:val="28"/>
          <w:highlight w:val="none"/>
          <w:u w:val="single"/>
        </w:rPr>
        <w:t>（填写正本或副本）</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项目名称：</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备案编号：</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招标编号：</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所投合同包：</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rPr>
          <w:highlight w:val="none"/>
        </w:rPr>
      </w:pP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5"/>
          <w:szCs w:val="25"/>
          <w:highlight w:val="none"/>
        </w:rPr>
        <w:t>投标人：</w:t>
      </w:r>
      <w:r>
        <w:rPr>
          <w:rStyle w:val="10"/>
          <w:rFonts w:hint="eastAsia" w:ascii="宋体" w:hAnsi="宋体" w:eastAsia="宋体" w:cs="宋体"/>
          <w:b/>
          <w:sz w:val="25"/>
          <w:szCs w:val="25"/>
          <w:highlight w:val="none"/>
          <w:u w:val="single"/>
        </w:rPr>
        <w:t>（填写“全称”）</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5"/>
          <w:szCs w:val="25"/>
          <w:highlight w:val="none"/>
          <w:u w:val="single"/>
        </w:rPr>
        <w:t>（由投标人填写）</w:t>
      </w:r>
      <w:r>
        <w:rPr>
          <w:rStyle w:val="10"/>
          <w:rFonts w:hint="eastAsia" w:ascii="宋体" w:hAnsi="宋体" w:eastAsia="宋体" w:cs="宋体"/>
          <w:b/>
          <w:sz w:val="25"/>
          <w:szCs w:val="25"/>
          <w:highlight w:val="none"/>
        </w:rPr>
        <w:t>年</w:t>
      </w:r>
      <w:r>
        <w:rPr>
          <w:rStyle w:val="10"/>
          <w:rFonts w:hint="eastAsia" w:ascii="宋体" w:hAnsi="宋体" w:eastAsia="宋体" w:cs="宋体"/>
          <w:b/>
          <w:sz w:val="25"/>
          <w:szCs w:val="25"/>
          <w:highlight w:val="none"/>
          <w:u w:val="single"/>
        </w:rPr>
        <w:t>（由投标人填写）</w:t>
      </w:r>
      <w:r>
        <w:rPr>
          <w:rStyle w:val="10"/>
          <w:rFonts w:hint="eastAsia" w:ascii="宋体" w:hAnsi="宋体" w:eastAsia="宋体" w:cs="宋体"/>
          <w:b/>
          <w:sz w:val="25"/>
          <w:szCs w:val="25"/>
          <w:highlight w:val="none"/>
        </w:rPr>
        <w:t>月</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default" w:ascii="Calibri" w:hAnsi="Calibri" w:cs="Calibri"/>
          <w:sz w:val="16"/>
          <w:szCs w:val="16"/>
          <w:highlight w:val="none"/>
        </w:rPr>
        <w:br w:type="textWrapping"/>
      </w:r>
      <w:r>
        <w:rPr>
          <w:rStyle w:val="10"/>
          <w:rFonts w:hint="eastAsia" w:asciiTheme="minorEastAsia" w:hAnsiTheme="minorEastAsia" w:eastAsiaTheme="minorEastAsia" w:cstheme="minorEastAsia"/>
          <w:b/>
          <w:sz w:val="21"/>
          <w:szCs w:val="21"/>
          <w:highlight w:val="none"/>
        </w:rPr>
        <w:t>索引</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一、投标函</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二、投标人的资格及资信证明文件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三、投标保证金</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资格及资信证明部分中不得出现报价部分的全部或部分的投标报价信息（或组成资料），否则</w:t>
      </w:r>
      <w:r>
        <w:rPr>
          <w:rStyle w:val="10"/>
          <w:rFonts w:hint="eastAsia" w:asciiTheme="minorEastAsia" w:hAnsiTheme="minorEastAsia" w:eastAsiaTheme="minorEastAsia" w:cstheme="minorEastAsia"/>
          <w:b/>
          <w:sz w:val="21"/>
          <w:szCs w:val="21"/>
          <w:highlight w:val="none"/>
        </w:rPr>
        <w:t>资格审查不合格</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一、投标函</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兹收到贵单位关于</w:t>
      </w:r>
      <w:r>
        <w:rPr>
          <w:rFonts w:hint="eastAsia" w:asciiTheme="minorEastAsia" w:hAnsiTheme="minorEastAsia" w:eastAsiaTheme="minorEastAsia" w:cstheme="minorEastAsia"/>
          <w:sz w:val="21"/>
          <w:szCs w:val="21"/>
          <w:highlight w:val="none"/>
          <w:u w:val="single"/>
        </w:rPr>
        <w:t>（填写“项目名称”）</w:t>
      </w:r>
      <w:r>
        <w:rPr>
          <w:rFonts w:hint="eastAsia" w:asciiTheme="minorEastAsia" w:hAnsiTheme="minorEastAsia" w:eastAsiaTheme="minorEastAsia" w:cstheme="minorEastAsia"/>
          <w:sz w:val="21"/>
          <w:szCs w:val="21"/>
          <w:highlight w:val="none"/>
        </w:rPr>
        <w:t>项目（招标编号：</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）的投标邀请，本投标人代表</w:t>
      </w:r>
      <w:r>
        <w:rPr>
          <w:rFonts w:hint="eastAsia" w:asciiTheme="minorEastAsia" w:hAnsiTheme="minorEastAsia" w:eastAsiaTheme="minorEastAsia" w:cstheme="minorEastAsia"/>
          <w:sz w:val="21"/>
          <w:szCs w:val="21"/>
          <w:highlight w:val="none"/>
          <w:u w:val="single"/>
        </w:rPr>
        <w:t>（填写“全名”）</w:t>
      </w:r>
      <w:r>
        <w:rPr>
          <w:rFonts w:hint="eastAsia" w:asciiTheme="minorEastAsia" w:hAnsiTheme="minorEastAsia" w:eastAsiaTheme="minorEastAsia" w:cstheme="minorEastAsia"/>
          <w:sz w:val="21"/>
          <w:szCs w:val="21"/>
          <w:highlight w:val="none"/>
        </w:rPr>
        <w:t>已获得我方正式授权并代表投标人</w:t>
      </w:r>
      <w:r>
        <w:rPr>
          <w:rFonts w:hint="eastAsia" w:asciiTheme="minorEastAsia" w:hAnsiTheme="minorEastAsia" w:eastAsiaTheme="minorEastAsia" w:cstheme="minorEastAsia"/>
          <w:sz w:val="21"/>
          <w:szCs w:val="21"/>
          <w:highlight w:val="none"/>
          <w:u w:val="single"/>
        </w:rPr>
        <w:t>（填写“全称”）</w:t>
      </w:r>
      <w:r>
        <w:rPr>
          <w:rFonts w:hint="eastAsia" w:asciiTheme="minorEastAsia" w:hAnsiTheme="minorEastAsia" w:eastAsiaTheme="minorEastAsia" w:cstheme="minorEastAsia"/>
          <w:sz w:val="21"/>
          <w:szCs w:val="21"/>
          <w:highlight w:val="none"/>
        </w:rPr>
        <w:t>参加投标，并提交招标文件规定份数的投标文件正本和副本。我方提交的全部投标文件均由下述部分组成：</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（1）资格及资信证明部分</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①投标函</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②投标人的资格及资信证明文件</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③投标保证金</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（2）报价部分</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①开标一览表</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②投标分项报价表</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③招标文件规定的价格扣除证明材料（若有）</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④招标文件规定的加分证明材料（若有）</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（3）技术商务部分</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①标的说明一览表</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②技术和服务要求响应表</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③商务条件响应表</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④投标人提交的其他资料（若有）</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根据本函，本投标人代表宣布我方保证遵守招标文件的全部规定，同时：</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r>
        <w:rPr>
          <w:rStyle w:val="10"/>
          <w:rFonts w:hint="eastAsia" w:asciiTheme="minorEastAsia" w:hAnsiTheme="minorEastAsia" w:eastAsiaTheme="minorEastAsia" w:cstheme="minorEastAsia"/>
          <w:b/>
          <w:sz w:val="21"/>
          <w:szCs w:val="21"/>
          <w:highlight w:val="none"/>
        </w:rPr>
        <w:t>确认：</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1.1所投合同包的投标报价详见“开标一览表”及“投标分项报价表”。</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1.2我方已详细审查全部招标文件[包括但不限于：有关附件（若有）、澄清或修改（若有）等]，并自行承担因对全部招标文件理解不正确或误解而产生的相应后果和责任。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w:t>
      </w:r>
      <w:r>
        <w:rPr>
          <w:rStyle w:val="10"/>
          <w:rFonts w:hint="eastAsia" w:asciiTheme="minorEastAsia" w:hAnsiTheme="minorEastAsia" w:eastAsiaTheme="minorEastAsia" w:cstheme="minorEastAsia"/>
          <w:b/>
          <w:sz w:val="21"/>
          <w:szCs w:val="21"/>
          <w:highlight w:val="none"/>
        </w:rPr>
        <w:t>承诺及声明：</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2.1我方具备招标文件第一章载明的“投标人的资格要求”且符合招标文件第三章载明的“二、投标人”之规定，否则</w:t>
      </w:r>
      <w:r>
        <w:rPr>
          <w:rStyle w:val="10"/>
          <w:rFonts w:hint="eastAsia" w:asciiTheme="minorEastAsia" w:hAnsiTheme="minorEastAsia" w:eastAsiaTheme="minorEastAsia" w:cstheme="minorEastAsia"/>
          <w:b/>
          <w:sz w:val="21"/>
          <w:szCs w:val="21"/>
          <w:highlight w:val="none"/>
        </w:rPr>
        <w:t>投标无效。</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2.2我方提交的投标文件各组成部分的全部内容及资料是不可割离且真实、有效、准确、完整和不具有任何误导性的，否则产生不利后果由我方承担责任。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2.3我方提供的标的价格不高于同期市场价格，否则产生不利后果由我方承担责任。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2.4投标保证金：若出现招标文件第三章规定的不予退还情形，同意贵单位不予退还。</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2.5投标有效期：按照招标文件第三章规定执行，并在招标文件第二章载明的期限内保持有效。</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2.6若中标，将按照招标文件、我方投标文件及政府采购合同履行责任和义务。</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2.7若贵单位要求，我方同意提供与本项目投标有关的一切资料、数据或文件，并完全理解贵单位不一定要接受最低的投标报价或收到的任何投标。</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2.8除招标文件另有规定外，对于贵单位按照下述联络方式发出的任何信息或通知，均视为我方已收悉前述信息或通知的全部内容：</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通信地址：</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邮编：</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联系方法：</w:t>
      </w:r>
      <w:r>
        <w:rPr>
          <w:rFonts w:hint="eastAsia" w:asciiTheme="minorEastAsia" w:hAnsiTheme="minorEastAsia" w:eastAsiaTheme="minorEastAsia" w:cstheme="minorEastAsia"/>
          <w:sz w:val="21"/>
          <w:szCs w:val="21"/>
          <w:highlight w:val="none"/>
          <w:u w:val="single"/>
        </w:rPr>
        <w:t>（包括但不限于：联系人、联系电话、手机、传真、电子邮箱等）</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二、投标人的资格及资信证明文件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二-1单位负责人授权书（若有）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我方的单位负责人</w:t>
      </w:r>
      <w:r>
        <w:rPr>
          <w:rFonts w:hint="eastAsia" w:asciiTheme="minorEastAsia" w:hAnsiTheme="minorEastAsia" w:eastAsiaTheme="minorEastAsia" w:cstheme="minorEastAsia"/>
          <w:sz w:val="21"/>
          <w:szCs w:val="21"/>
          <w:highlight w:val="none"/>
          <w:u w:val="single"/>
        </w:rPr>
        <w:t>（填写“单位负责人全名”）</w:t>
      </w:r>
      <w:r>
        <w:rPr>
          <w:rFonts w:hint="eastAsia" w:asciiTheme="minorEastAsia" w:hAnsiTheme="minorEastAsia" w:eastAsiaTheme="minorEastAsia" w:cstheme="minorEastAsia"/>
          <w:sz w:val="21"/>
          <w:szCs w:val="21"/>
          <w:highlight w:val="none"/>
        </w:rPr>
        <w:t>授权</w:t>
      </w:r>
      <w:r>
        <w:rPr>
          <w:rFonts w:hint="eastAsia" w:asciiTheme="minorEastAsia" w:hAnsiTheme="minorEastAsia" w:eastAsiaTheme="minorEastAsia" w:cstheme="minorEastAsia"/>
          <w:sz w:val="21"/>
          <w:szCs w:val="21"/>
          <w:highlight w:val="none"/>
          <w:u w:val="single"/>
        </w:rPr>
        <w:t>（填写“投标人代表全名”）</w:t>
      </w:r>
      <w:r>
        <w:rPr>
          <w:rFonts w:hint="eastAsia" w:asciiTheme="minorEastAsia" w:hAnsiTheme="minorEastAsia" w:eastAsiaTheme="minorEastAsia" w:cstheme="minorEastAsia"/>
          <w:sz w:val="21"/>
          <w:szCs w:val="21"/>
          <w:highlight w:val="none"/>
        </w:rPr>
        <w:t>为投标人代表，代表我方参加</w:t>
      </w:r>
      <w:r>
        <w:rPr>
          <w:rFonts w:hint="eastAsia" w:asciiTheme="minorEastAsia" w:hAnsiTheme="minorEastAsia" w:eastAsiaTheme="minorEastAsia" w:cstheme="minorEastAsia"/>
          <w:sz w:val="21"/>
          <w:szCs w:val="21"/>
          <w:highlight w:val="none"/>
          <w:u w:val="single"/>
        </w:rPr>
        <w:t>（填写“项目名称”）</w:t>
      </w:r>
      <w:r>
        <w:rPr>
          <w:rFonts w:hint="eastAsia" w:asciiTheme="minorEastAsia" w:hAnsiTheme="minorEastAsia" w:eastAsiaTheme="minorEastAsia" w:cstheme="minorEastAsia"/>
          <w:sz w:val="21"/>
          <w:szCs w:val="21"/>
          <w:highlight w:val="none"/>
        </w:rPr>
        <w:t>项目（招标编号：</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投标人代表无转委权。特此授权。</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（以下无正文）</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单位负责人：</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身份证号：</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手机：</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身份证号：</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手机：</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授权方</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单位负责人签字或盖章：</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接受授权方</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签署日期：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附：单位负责人、投标人代表的身份证正反面复印件</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504"/>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681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要求：真实有效且内容完整、清晰、整洁。</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1、企业（银行、保险、石油石化、电力、电信等行业除外）、事业单位和社会团体法人的“单位负责人”指</w:t>
      </w:r>
      <w:r>
        <w:rPr>
          <w:rStyle w:val="10"/>
          <w:rFonts w:hint="eastAsia" w:asciiTheme="minorEastAsia" w:hAnsiTheme="minorEastAsia" w:eastAsiaTheme="minorEastAsia" w:cstheme="minorEastAsia"/>
          <w:b/>
          <w:sz w:val="21"/>
          <w:szCs w:val="21"/>
          <w:highlight w:val="none"/>
        </w:rPr>
        <w:t>法定代表人</w:t>
      </w:r>
      <w:r>
        <w:rPr>
          <w:rFonts w:hint="eastAsia" w:asciiTheme="minorEastAsia" w:hAnsiTheme="minorEastAsia" w:eastAsiaTheme="minorEastAsia" w:cstheme="minorEastAsia"/>
          <w:sz w:val="21"/>
          <w:szCs w:val="21"/>
          <w:highlight w:val="none"/>
        </w:rPr>
        <w:t>，即与实际提交的“营业执照等证明文件”载明的一致。</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3、投标人（自然人除外）：若投标人代表为单位负责人授权的委托代理人，应提供本授权书；若投标人代表为单位负责人，应在此项下提交其身份证正反面复印件，可不提供本授权书。</w:t>
      </w:r>
      <w:r>
        <w:rPr>
          <w:rFonts w:hint="eastAsia" w:asciiTheme="minorEastAsia" w:hAnsiTheme="minorEastAsia" w:eastAsiaTheme="minorEastAsia" w:cstheme="minorEastAsia"/>
          <w:sz w:val="21"/>
          <w:szCs w:val="21"/>
          <w:highlight w:val="none"/>
        </w:rPr>
        <w:br w:type="textWrapping"/>
      </w:r>
      <w:r>
        <w:rPr>
          <w:rFonts w:hint="eastAsia" w:asciiTheme="minorEastAsia" w:hAnsiTheme="minorEastAsia" w:eastAsiaTheme="minorEastAsia" w:cstheme="minorEastAsia"/>
          <w:sz w:val="21"/>
          <w:szCs w:val="21"/>
          <w:highlight w:val="none"/>
        </w:rPr>
        <w:t>4、投标人为自然人的，可不填写本授权书。</w:t>
      </w:r>
      <w:r>
        <w:rPr>
          <w:rFonts w:hint="eastAsia" w:asciiTheme="minorEastAsia" w:hAnsiTheme="minorEastAsia" w:eastAsiaTheme="minorEastAsia" w:cstheme="minorEastAsia"/>
          <w:sz w:val="21"/>
          <w:szCs w:val="21"/>
          <w:highlight w:val="none"/>
        </w:rPr>
        <w:br w:type="textWrapping"/>
      </w:r>
      <w:r>
        <w:rPr>
          <w:rFonts w:hint="eastAsia" w:asciiTheme="minorEastAsia" w:hAnsiTheme="minorEastAsia" w:eastAsiaTheme="minorEastAsia" w:cstheme="minorEastAsia"/>
          <w:sz w:val="21"/>
          <w:szCs w:val="21"/>
          <w:highlight w:val="none"/>
        </w:rPr>
        <w:t>5、纸质投标文件正本中的本授权书（若有）应为原件。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二-2营业执照等证明文件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）投标人为法人（包括企业、事业单位和社会团体）的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现附上由</w:t>
      </w:r>
      <w:r>
        <w:rPr>
          <w:rFonts w:hint="eastAsia" w:asciiTheme="minorEastAsia" w:hAnsiTheme="minorEastAsia" w:eastAsiaTheme="minorEastAsia" w:cstheme="minorEastAsia"/>
          <w:sz w:val="21"/>
          <w:szCs w:val="21"/>
          <w:highlight w:val="none"/>
          <w:u w:val="single"/>
        </w:rPr>
        <w:t>（填写“签发机关全称”）</w:t>
      </w:r>
      <w:r>
        <w:rPr>
          <w:rFonts w:hint="eastAsia" w:asciiTheme="minorEastAsia" w:hAnsiTheme="minorEastAsia" w:eastAsiaTheme="minorEastAsia" w:cstheme="minorEastAsia"/>
          <w:sz w:val="21"/>
          <w:szCs w:val="21"/>
          <w:highlight w:val="none"/>
        </w:rPr>
        <w:t>签发的我方统一社会信用代码</w:t>
      </w:r>
      <w:r>
        <w:rPr>
          <w:rFonts w:hint="eastAsia" w:asciiTheme="minorEastAsia" w:hAnsiTheme="minorEastAsia" w:eastAsiaTheme="minorEastAsia" w:cstheme="minorEastAsia"/>
          <w:sz w:val="21"/>
          <w:szCs w:val="21"/>
          <w:highlight w:val="none"/>
          <w:u w:val="single"/>
        </w:rPr>
        <w:t>（请填写法人的具体证照名称）</w:t>
      </w:r>
      <w:r>
        <w:rPr>
          <w:rFonts w:hint="eastAsia" w:asciiTheme="minorEastAsia" w:hAnsiTheme="minorEastAsia" w:eastAsiaTheme="minorEastAsia" w:cstheme="minorEastAsia"/>
          <w:sz w:val="21"/>
          <w:szCs w:val="21"/>
          <w:highlight w:val="none"/>
        </w:rPr>
        <w:t>复印件，该证明材料真实有效，否则我方负全部责任。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）投标人为非法人（包括其他组织、自然人）的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□现附上由</w:t>
      </w:r>
      <w:r>
        <w:rPr>
          <w:rFonts w:hint="eastAsia" w:asciiTheme="minorEastAsia" w:hAnsiTheme="minorEastAsia" w:eastAsiaTheme="minorEastAsia" w:cstheme="minorEastAsia"/>
          <w:sz w:val="21"/>
          <w:szCs w:val="21"/>
          <w:highlight w:val="none"/>
          <w:u w:val="single"/>
        </w:rPr>
        <w:t>（填写“签发机关全称”）</w:t>
      </w:r>
      <w:r>
        <w:rPr>
          <w:rFonts w:hint="eastAsia" w:asciiTheme="minorEastAsia" w:hAnsiTheme="minorEastAsia" w:eastAsiaTheme="minorEastAsia" w:cstheme="minorEastAsia"/>
          <w:sz w:val="21"/>
          <w:szCs w:val="21"/>
          <w:highlight w:val="none"/>
        </w:rPr>
        <w:t>签发的我方</w:t>
      </w:r>
      <w:r>
        <w:rPr>
          <w:rFonts w:hint="eastAsia" w:asciiTheme="minorEastAsia" w:hAnsiTheme="minorEastAsia" w:eastAsiaTheme="minorEastAsia" w:cstheme="minorEastAsia"/>
          <w:sz w:val="21"/>
          <w:szCs w:val="21"/>
          <w:highlight w:val="none"/>
          <w:u w:val="single"/>
        </w:rPr>
        <w:t>（请填写非自然人的非法人的具体证照名称）</w:t>
      </w:r>
      <w:r>
        <w:rPr>
          <w:rFonts w:hint="eastAsia" w:asciiTheme="minorEastAsia" w:hAnsiTheme="minorEastAsia" w:eastAsiaTheme="minorEastAsia" w:cstheme="minorEastAsia"/>
          <w:sz w:val="21"/>
          <w:szCs w:val="21"/>
          <w:highlight w:val="none"/>
        </w:rPr>
        <w:t>复印件，该证明材料真实有效，否则我方负全部责任。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□现附上由</w:t>
      </w:r>
      <w:r>
        <w:rPr>
          <w:rFonts w:hint="eastAsia" w:asciiTheme="minorEastAsia" w:hAnsiTheme="minorEastAsia" w:eastAsiaTheme="minorEastAsia" w:cstheme="minorEastAsia"/>
          <w:sz w:val="21"/>
          <w:szCs w:val="21"/>
          <w:highlight w:val="none"/>
          <w:u w:val="single"/>
        </w:rPr>
        <w:t>（填写“签发机关全称”）</w:t>
      </w:r>
      <w:r>
        <w:rPr>
          <w:rFonts w:hint="eastAsia" w:asciiTheme="minorEastAsia" w:hAnsiTheme="minorEastAsia" w:eastAsiaTheme="minorEastAsia" w:cstheme="minorEastAsia"/>
          <w:sz w:val="21"/>
          <w:szCs w:val="21"/>
          <w:highlight w:val="none"/>
        </w:rPr>
        <w:t>签发的我方</w:t>
      </w:r>
      <w:r>
        <w:rPr>
          <w:rFonts w:hint="eastAsia" w:asciiTheme="minorEastAsia" w:hAnsiTheme="minorEastAsia" w:eastAsiaTheme="minorEastAsia" w:cstheme="minorEastAsia"/>
          <w:sz w:val="21"/>
          <w:szCs w:val="21"/>
          <w:highlight w:val="none"/>
          <w:u w:val="single"/>
        </w:rPr>
        <w:t>（请填写自然人的身份证件名称）</w:t>
      </w:r>
      <w:r>
        <w:rPr>
          <w:rFonts w:hint="eastAsia" w:asciiTheme="minorEastAsia" w:hAnsiTheme="minorEastAsia" w:eastAsiaTheme="minorEastAsia" w:cstheme="minorEastAsia"/>
          <w:sz w:val="21"/>
          <w:szCs w:val="21"/>
          <w:highlight w:val="none"/>
        </w:rPr>
        <w:t>复印件，该证明材料真实有效，否则我方负全部责任。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1、请投标人按照实际情况编制填写，在相应的（）中打“√”并选择相应的“□”（若有）后，再按照本格式的要求提供相应证明材料的复印件。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3、投标人提供的相应证明材料复印件均应符合：内容完整、清晰、整洁，并由投标人加盖其单位公章。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二-3财务状况报告（财务报告、或资信证明、或投标担保函）</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）投标人提供财务报告的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□企业适用：现附上我方</w:t>
      </w:r>
      <w:r>
        <w:rPr>
          <w:rFonts w:hint="eastAsia" w:asciiTheme="minorEastAsia" w:hAnsiTheme="minorEastAsia" w:eastAsiaTheme="minorEastAsia" w:cstheme="minorEastAsia"/>
          <w:sz w:val="21"/>
          <w:szCs w:val="21"/>
          <w:highlight w:val="none"/>
          <w:u w:val="single"/>
        </w:rPr>
        <w:t>（填写“具体的年度、或半年度、或季度”）</w:t>
      </w:r>
      <w:r>
        <w:rPr>
          <w:rFonts w:hint="eastAsia" w:asciiTheme="minorEastAsia" w:hAnsiTheme="minorEastAsia" w:eastAsiaTheme="minorEastAsia" w:cstheme="minorEastAsia"/>
          <w:sz w:val="21"/>
          <w:szCs w:val="21"/>
          <w:highlight w:val="none"/>
        </w:rPr>
        <w:t>财务报告复印件，包括资产负债表、利润表、现金流量表、所有者权益变动表（若有）及其附注（若有），上述证明材料真实有效，否则我方负全部责任。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□事业单位适用：现附上我方</w:t>
      </w:r>
      <w:r>
        <w:rPr>
          <w:rFonts w:hint="eastAsia" w:asciiTheme="minorEastAsia" w:hAnsiTheme="minorEastAsia" w:eastAsiaTheme="minorEastAsia" w:cstheme="minorEastAsia"/>
          <w:sz w:val="21"/>
          <w:szCs w:val="21"/>
          <w:highlight w:val="none"/>
          <w:u w:val="single"/>
        </w:rPr>
        <w:t>（填写“具体的年度、或半年度、或季度”）</w:t>
      </w:r>
      <w:r>
        <w:rPr>
          <w:rFonts w:hint="eastAsia" w:asciiTheme="minorEastAsia" w:hAnsiTheme="minorEastAsia" w:eastAsiaTheme="minorEastAsia" w:cstheme="minorEastAsia"/>
          <w:sz w:val="21"/>
          <w:szCs w:val="21"/>
          <w:highlight w:val="none"/>
        </w:rPr>
        <w:t>财务报告复印件，包括资产负债表、收入支出表（或收入费用表）、财政补助收入支出表（若有），上述证明材料真实有效，否则我方负全部责任。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□社会团体适用：现附上我方</w:t>
      </w:r>
      <w:r>
        <w:rPr>
          <w:rFonts w:hint="eastAsia" w:asciiTheme="minorEastAsia" w:hAnsiTheme="minorEastAsia" w:eastAsiaTheme="minorEastAsia" w:cstheme="minorEastAsia"/>
          <w:sz w:val="21"/>
          <w:szCs w:val="21"/>
          <w:highlight w:val="none"/>
          <w:u w:val="single"/>
        </w:rPr>
        <w:t>（填写“具体的年度、或半年度、或季度”）</w:t>
      </w:r>
      <w:r>
        <w:rPr>
          <w:rFonts w:hint="eastAsia" w:asciiTheme="minorEastAsia" w:hAnsiTheme="minorEastAsia" w:eastAsiaTheme="minorEastAsia" w:cstheme="minorEastAsia"/>
          <w:sz w:val="21"/>
          <w:szCs w:val="21"/>
          <w:highlight w:val="none"/>
        </w:rPr>
        <w:t>财务报告复印件，包括资产负债表、业务活动表、现金流量表，上述证明材料真实有效，否则我方负全部责任。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）投标人提供资信证明的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□非自然人适用（包括企业、事业单位、社会团体和其他组织）：现附上我方银行：（填写“开户银行全称”）出具的资信证明复印件，上述证明材料真实有效，否则我方负全部责任。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□自然人适用：现附上我方银行：</w:t>
      </w:r>
      <w:r>
        <w:rPr>
          <w:rFonts w:hint="eastAsia" w:asciiTheme="minorEastAsia" w:hAnsiTheme="minorEastAsia" w:eastAsiaTheme="minorEastAsia" w:cstheme="minorEastAsia"/>
          <w:sz w:val="21"/>
          <w:szCs w:val="21"/>
          <w:highlight w:val="none"/>
          <w:u w:val="single"/>
        </w:rPr>
        <w:t>（填写自然人的“个人账户的开户银行全称”）</w:t>
      </w:r>
      <w:r>
        <w:rPr>
          <w:rFonts w:hint="eastAsia" w:asciiTheme="minorEastAsia" w:hAnsiTheme="minorEastAsia" w:eastAsiaTheme="minorEastAsia" w:cstheme="minorEastAsia"/>
          <w:sz w:val="21"/>
          <w:szCs w:val="21"/>
          <w:highlight w:val="none"/>
        </w:rPr>
        <w:t>出具的资信证明复印件，上述证明材料真实有效，否则我方负全部责任。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）投标人提供投标担保函的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现附上由财政部门认可的政府采购专业担保机构：</w:t>
      </w:r>
      <w:r>
        <w:rPr>
          <w:rFonts w:hint="eastAsia" w:asciiTheme="minorEastAsia" w:hAnsiTheme="minorEastAsia" w:eastAsiaTheme="minorEastAsia" w:cstheme="minorEastAsia"/>
          <w:sz w:val="21"/>
          <w:szCs w:val="21"/>
          <w:highlight w:val="none"/>
          <w:u w:val="single"/>
        </w:rPr>
        <w:t>（填写“担保机构全称”）</w:t>
      </w:r>
      <w:r>
        <w:rPr>
          <w:rFonts w:hint="eastAsia" w:asciiTheme="minorEastAsia" w:hAnsiTheme="minorEastAsia" w:eastAsiaTheme="minorEastAsia" w:cstheme="minorEastAsia"/>
          <w:sz w:val="21"/>
          <w:szCs w:val="21"/>
          <w:highlight w:val="none"/>
        </w:rPr>
        <w:t>出具的投标担保函复印件，上述证明材料真实有效，否则我方负全部责任。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1、请投标人按照实际情况编制填写，在相应的（）中打“√”并选择相应的“□”（若有）后，再按照本格式的要求提供相应证明材料的复印件。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2、投标人提供的财务报告复印件（成立年限按照投标截止时间推算）应符合下列规定：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2.1成立年限满1年及以上的投标人，提供经审计的上一年度的年度财务报告。</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2.2成立年限满半年但不足1年的投标人，提供该半年度中任一季度的季度财务报告或该半年度的半年度财务报告。</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3、“财政部门认可的政府采购专业担保机构”应符合《财政部关于开展政府采购信用担保试点工作方案》（财库[2011]124号）的规定。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4、投标人提供的相应证明材料复印件均应符合：内容完整、清晰、整洁，并由投标人加盖其单位公章。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w:t>
      </w:r>
      <w:r>
        <w:rPr>
          <w:rStyle w:val="10"/>
          <w:rFonts w:hint="eastAsia" w:asciiTheme="minorEastAsia" w:hAnsiTheme="minorEastAsia" w:eastAsiaTheme="minorEastAsia" w:cstheme="minorEastAsia"/>
          <w:b/>
          <w:sz w:val="21"/>
          <w:szCs w:val="21"/>
          <w:highlight w:val="none"/>
        </w:rPr>
        <w:t>-4依法缴纳税收证明材料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1、依法缴纳税收的投标人</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）法人（包括企业、事业单位和社会团体）的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现附上自</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日至</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日期间我方缴纳的</w:t>
      </w:r>
      <w:r>
        <w:rPr>
          <w:rFonts w:hint="eastAsia" w:asciiTheme="minorEastAsia" w:hAnsiTheme="minorEastAsia" w:eastAsiaTheme="minorEastAsia" w:cstheme="minorEastAsia"/>
          <w:sz w:val="21"/>
          <w:szCs w:val="21"/>
          <w:highlight w:val="none"/>
          <w:u w:val="single"/>
        </w:rPr>
        <w:t>（按照投标人实际缴纳的税种名称填写，如：增值税、所得税等）</w:t>
      </w:r>
      <w:r>
        <w:rPr>
          <w:rFonts w:hint="eastAsia" w:asciiTheme="minorEastAsia" w:hAnsiTheme="minorEastAsia" w:eastAsiaTheme="minorEastAsia" w:cstheme="minorEastAsia"/>
          <w:sz w:val="21"/>
          <w:szCs w:val="21"/>
          <w:highlight w:val="none"/>
        </w:rPr>
        <w:t>税收凭据复印件，上述证明材料真实有效，否则我方负全部责任。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）非法人（包括其他组织、自然人）的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现附上自</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日至</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日期间我方缴纳的</w:t>
      </w:r>
      <w:r>
        <w:rPr>
          <w:rFonts w:hint="eastAsia" w:asciiTheme="minorEastAsia" w:hAnsiTheme="minorEastAsia" w:eastAsiaTheme="minorEastAsia" w:cstheme="minorEastAsia"/>
          <w:sz w:val="21"/>
          <w:szCs w:val="21"/>
          <w:highlight w:val="none"/>
          <w:u w:val="single"/>
        </w:rPr>
        <w:t>（按照投标人实际缴纳的税种名称填写）</w:t>
      </w:r>
      <w:r>
        <w:rPr>
          <w:rFonts w:hint="eastAsia" w:asciiTheme="minorEastAsia" w:hAnsiTheme="minorEastAsia" w:eastAsiaTheme="minorEastAsia" w:cstheme="minorEastAsia"/>
          <w:sz w:val="21"/>
          <w:szCs w:val="21"/>
          <w:highlight w:val="none"/>
        </w:rPr>
        <w:t>税收凭据复印件，上述证明材料真实有效，否则我方负全部责任。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2、依法免税的投标人</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）现附上我方依法免税证明材料复印件，上述证明材料真实有效，否则我方负全部责任。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1、请投标人按照实际情况编制填写，在相应的（）中打“√”，并按照本格式的要求提供相应证明材料的复印件。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2、投标人提供的税收凭据复印件应符合下列规定：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2.1投标截止时间前（不含投标截止时间的当月）已依法缴纳税收的投标人，提供投标截止时间前六个月（不含投标截止时间的当月）中任一月份的税收凭据复印件。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2.2投标截止时间的当月成立且已依法缴纳税收的投标人，提供投标截止时间当月的税收凭据复印件。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2.3投标截止时间的当月成立但因税务机关原因导致其尚未依法缴纳税收的投标人，提供依法缴纳税收承诺书原件（格式自拟），该承诺书视同税收凭据。</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w:t>
      </w:r>
      <w:r>
        <w:rPr>
          <w:rStyle w:val="10"/>
          <w:rFonts w:hint="eastAsia" w:asciiTheme="minorEastAsia" w:hAnsiTheme="minorEastAsia" w:eastAsiaTheme="minorEastAsia" w:cstheme="minorEastAsia"/>
          <w:b/>
          <w:sz w:val="21"/>
          <w:szCs w:val="21"/>
          <w:highlight w:val="none"/>
        </w:rPr>
        <w:t>“依法缴纳税收证明材料”</w:t>
      </w:r>
      <w:r>
        <w:rPr>
          <w:rFonts w:hint="eastAsia" w:asciiTheme="minorEastAsia" w:hAnsiTheme="minorEastAsia" w:eastAsiaTheme="minorEastAsia" w:cstheme="minorEastAsia"/>
          <w:sz w:val="21"/>
          <w:szCs w:val="21"/>
          <w:highlight w:val="none"/>
        </w:rPr>
        <w:t>有欠缴记录的，视为</w:t>
      </w:r>
      <w:r>
        <w:rPr>
          <w:rStyle w:val="10"/>
          <w:rFonts w:hint="eastAsia" w:asciiTheme="minorEastAsia" w:hAnsiTheme="minorEastAsia" w:eastAsiaTheme="minorEastAsia" w:cstheme="minorEastAsia"/>
          <w:b/>
          <w:sz w:val="21"/>
          <w:szCs w:val="21"/>
          <w:highlight w:val="none"/>
        </w:rPr>
        <w:t>未依法缴纳税收。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4、投标人提供的相应证明材料复印件均应符合：内容完整、清晰、整洁，并由投标人加盖其单位公章。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r>
        <w:rPr>
          <w:rStyle w:val="10"/>
          <w:rFonts w:hint="eastAsia" w:asciiTheme="minorEastAsia" w:hAnsiTheme="minorEastAsia" w:eastAsiaTheme="minorEastAsia" w:cstheme="minorEastAsia"/>
          <w:b/>
          <w:sz w:val="21"/>
          <w:szCs w:val="21"/>
          <w:highlight w:val="none"/>
        </w:rPr>
        <w:t>二-5依法缴纳社会保障资金证明材料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1、依法缴纳社会保障资金的投标人</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）法人（包括企业、事业单位和社会团体）的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现附上自</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日至</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）非法人（包括其他组织、自然人）的</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自</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日至</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2、依法不需要缴纳社会保障资金的投标人</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）现附上我方依法不需要缴纳社会保障资金证明材料复印件，上述证明材料真实有效，否则我方负全部责任。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1、请投标人按照实际情况编制填写，在相应的（）中打“√”，并按照本格式的要求提供相应证明材料的复印件。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2、投标人提供的社会保险凭据复印件应符合下列规定：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2.2投标截止时间的当月成立且已依法缴纳社会保障资金的投标人，提供投标截止时间当月的社会保险凭据复印件。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2.3投标截止时间的当月成立但因税务机关/社会保障资金管理机关原因导致其尚未依法缴纳社会保障资金的投标人，提供依法缴纳社会保障资金承诺书原件（格式自拟），该承诺书视同社会保险凭据。</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w:t>
      </w:r>
      <w:r>
        <w:rPr>
          <w:rStyle w:val="10"/>
          <w:rFonts w:hint="eastAsia" w:asciiTheme="minorEastAsia" w:hAnsiTheme="minorEastAsia" w:eastAsiaTheme="minorEastAsia" w:cstheme="minorEastAsia"/>
          <w:b/>
          <w:sz w:val="21"/>
          <w:szCs w:val="21"/>
          <w:highlight w:val="none"/>
        </w:rPr>
        <w:t>“依法缴纳社会保障资金证明材料”</w:t>
      </w:r>
      <w:r>
        <w:rPr>
          <w:rFonts w:hint="eastAsia" w:asciiTheme="minorEastAsia" w:hAnsiTheme="minorEastAsia" w:eastAsiaTheme="minorEastAsia" w:cstheme="minorEastAsia"/>
          <w:sz w:val="21"/>
          <w:szCs w:val="21"/>
          <w:highlight w:val="none"/>
        </w:rPr>
        <w:t>有欠缴记录的，视为</w:t>
      </w:r>
      <w:r>
        <w:rPr>
          <w:rStyle w:val="10"/>
          <w:rFonts w:hint="eastAsia" w:asciiTheme="minorEastAsia" w:hAnsiTheme="minorEastAsia" w:eastAsiaTheme="minorEastAsia" w:cstheme="minorEastAsia"/>
          <w:b/>
          <w:sz w:val="21"/>
          <w:szCs w:val="21"/>
          <w:highlight w:val="none"/>
        </w:rPr>
        <w:t>未依法缴纳社会保障资金。</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4、投标人提供的相应证明材料复印件均应符合：内容完整、清晰、整洁，并由投标人加盖其单位公章。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w:t>
      </w:r>
      <w:r>
        <w:rPr>
          <w:rStyle w:val="10"/>
          <w:rFonts w:hint="eastAsia" w:asciiTheme="minorEastAsia" w:hAnsiTheme="minorEastAsia" w:eastAsiaTheme="minorEastAsia" w:cstheme="minorEastAsia"/>
          <w:b/>
          <w:sz w:val="21"/>
          <w:szCs w:val="21"/>
          <w:highlight w:val="none"/>
        </w:rPr>
        <w:t>-6具备履行合同所必需设备和专业技术能力的声明函（若有）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我方具备履行合同所必需的设备和专业技术能力，否则产生不利后果由我方承担责任。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特此声明。</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1、招标文件未要求投标人提供“具备履行合同所必需的设备和专业技术能力专项证明材料”的，投标人应提供本声明函。</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2、招标文件要求投标人提供“具备履行合同所必需的设备和专业技术能力专项证明材料”的，投标人可不提供本声明函。</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3、纸质投标文件正本中的本声明函（若有）应为原件。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4、请投标人根据实际情况如实声明，否则</w:t>
      </w:r>
      <w:r>
        <w:rPr>
          <w:rStyle w:val="10"/>
          <w:rFonts w:hint="eastAsia" w:asciiTheme="minorEastAsia" w:hAnsiTheme="minorEastAsia" w:eastAsiaTheme="minorEastAsia" w:cstheme="minorEastAsia"/>
          <w:b/>
          <w:sz w:val="21"/>
          <w:szCs w:val="21"/>
          <w:highlight w:val="none"/>
        </w:rPr>
        <w:t>视为提供虚假材料。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w:t>
      </w:r>
      <w:r>
        <w:rPr>
          <w:rStyle w:val="10"/>
          <w:rFonts w:hint="eastAsia" w:asciiTheme="minorEastAsia" w:hAnsiTheme="minorEastAsia" w:eastAsiaTheme="minorEastAsia" w:cstheme="minorEastAsia"/>
          <w:b/>
          <w:sz w:val="21"/>
          <w:szCs w:val="21"/>
          <w:highlight w:val="none"/>
        </w:rPr>
        <w:t>-7参加采购活动前三年内在经营活动中没有重大违法记录书面声明</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参加采购活动前三年内，我方在经营活动中没有重大违法记录，也无行贿犯罪记录，否则产生不利后果由我方承担责任。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特此声明。</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1、“重大违法记录”指投标人因违法经营受到刑事处罚或责令停产停业、吊销许可证或执照、较大数额罚款等行政处罚。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2、纸质投标文件正本中的本声明应为原件。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3、请投标人根据实际情况如实声明，否则</w:t>
      </w:r>
      <w:r>
        <w:rPr>
          <w:rStyle w:val="10"/>
          <w:rFonts w:hint="eastAsia" w:asciiTheme="minorEastAsia" w:hAnsiTheme="minorEastAsia" w:eastAsiaTheme="minorEastAsia" w:cstheme="minorEastAsia"/>
          <w:b/>
          <w:sz w:val="21"/>
          <w:szCs w:val="21"/>
          <w:highlight w:val="none"/>
        </w:rPr>
        <w:t>视为提供虚假材料。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w:t>
      </w:r>
      <w:r>
        <w:rPr>
          <w:rStyle w:val="10"/>
          <w:rFonts w:hint="eastAsia" w:asciiTheme="minorEastAsia" w:hAnsiTheme="minorEastAsia" w:eastAsiaTheme="minorEastAsia" w:cstheme="minorEastAsia"/>
          <w:b/>
          <w:sz w:val="21"/>
          <w:szCs w:val="21"/>
          <w:highlight w:val="none"/>
        </w:rPr>
        <w:t>-8信用记录查询结果</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现附上截至</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时我方通过“信用中国”网站（www.creditchina.gov.cn）获取的我方信用信息查询结果</w:t>
      </w:r>
      <w:r>
        <w:rPr>
          <w:rFonts w:hint="eastAsia" w:asciiTheme="minorEastAsia" w:hAnsiTheme="minorEastAsia" w:eastAsiaTheme="minorEastAsia" w:cstheme="minorEastAsia"/>
          <w:sz w:val="21"/>
          <w:szCs w:val="21"/>
          <w:highlight w:val="none"/>
          <w:u w:val="single"/>
        </w:rPr>
        <w:t>（填写具体份数）</w:t>
      </w:r>
      <w:r>
        <w:rPr>
          <w:rFonts w:hint="eastAsia" w:asciiTheme="minorEastAsia" w:hAnsiTheme="minorEastAsia" w:eastAsiaTheme="minorEastAsia" w:cstheme="minorEastAsia"/>
          <w:sz w:val="21"/>
          <w:szCs w:val="21"/>
          <w:highlight w:val="none"/>
        </w:rPr>
        <w:t>份、通过中国政府采购网（www.ccgp.gov.cn）获取的我方信用信息查询结果</w:t>
      </w:r>
      <w:r>
        <w:rPr>
          <w:rFonts w:hint="eastAsia" w:asciiTheme="minorEastAsia" w:hAnsiTheme="minorEastAsia" w:eastAsiaTheme="minorEastAsia" w:cstheme="minorEastAsia"/>
          <w:sz w:val="21"/>
          <w:szCs w:val="21"/>
          <w:highlight w:val="none"/>
          <w:u w:val="single"/>
        </w:rPr>
        <w:t>（填写具体份数）</w:t>
      </w:r>
      <w:r>
        <w:rPr>
          <w:rFonts w:hint="eastAsia" w:asciiTheme="minorEastAsia" w:hAnsiTheme="minorEastAsia" w:eastAsiaTheme="minorEastAsia" w:cstheme="minorEastAsia"/>
          <w:sz w:val="21"/>
          <w:szCs w:val="21"/>
          <w:highlight w:val="none"/>
        </w:rPr>
        <w:t>份，上述信用信息查询结果真实有效，否则我方负全部责任。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textWrapping"/>
      </w:r>
    </w:p>
    <w:p>
      <w:pP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二-9检察机关行贿犯罪档案查询结果告知函</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检察机关行贿犯罪档案查询结果告知函（以下简称：“告知函”）由投标人向住所地或业务发生地检察院申请查询，具体以检察院出具的为准。</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1、未提供行贿犯罪档案查询结果或查询结果表明投标人有行贿犯罪记录的，</w:t>
      </w:r>
      <w:r>
        <w:rPr>
          <w:rStyle w:val="10"/>
          <w:rFonts w:hint="eastAsia" w:asciiTheme="minorEastAsia" w:hAnsiTheme="minorEastAsia" w:eastAsiaTheme="minorEastAsia" w:cstheme="minorEastAsia"/>
          <w:b/>
          <w:sz w:val="21"/>
          <w:szCs w:val="21"/>
          <w:highlight w:val="none"/>
        </w:rPr>
        <w:t>投标无效。</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2、若从检察机关指定网站下载打印或截图告知函，则告知函应为从前述指定网站获取的查询结果原始页面的打印件（或截图），否则</w:t>
      </w:r>
      <w:r>
        <w:rPr>
          <w:rStyle w:val="10"/>
          <w:rFonts w:hint="eastAsia" w:asciiTheme="minorEastAsia" w:hAnsiTheme="minorEastAsia" w:eastAsiaTheme="minorEastAsia" w:cstheme="minorEastAsia"/>
          <w:b/>
          <w:sz w:val="21"/>
          <w:szCs w:val="21"/>
          <w:highlight w:val="none"/>
        </w:rPr>
        <w:t>投标无效。</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3、告知函应在有效期内且内容完整、清晰、整洁，否则</w:t>
      </w:r>
      <w:r>
        <w:rPr>
          <w:rStyle w:val="10"/>
          <w:rFonts w:hint="eastAsia" w:asciiTheme="minorEastAsia" w:hAnsiTheme="minorEastAsia" w:eastAsiaTheme="minorEastAsia" w:cstheme="minorEastAsia"/>
          <w:b/>
          <w:sz w:val="21"/>
          <w:szCs w:val="21"/>
          <w:highlight w:val="none"/>
        </w:rPr>
        <w:t>投标无效。</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4、有效期内的告知函复印件（含扫描件）及符合招标文件第七章规定的打印件（或截图），无论内容中是否注明“复印件无效”，</w:t>
      </w:r>
      <w:r>
        <w:rPr>
          <w:rStyle w:val="10"/>
          <w:rFonts w:hint="eastAsia" w:asciiTheme="minorEastAsia" w:hAnsiTheme="minorEastAsia" w:eastAsiaTheme="minorEastAsia" w:cstheme="minorEastAsia"/>
          <w:b/>
          <w:sz w:val="21"/>
          <w:szCs w:val="21"/>
          <w:highlight w:val="none"/>
        </w:rPr>
        <w:t>均视同有效。</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5、无法获取有效期内检察机关行贿犯罪档案查询结果告知函的，应在《参加采购活动前三年内在经营活动中没有重大违法记录书面声明》中对近三年无行贿犯罪记录进行声明。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二-10联合体协议（若有）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兹有</w:t>
      </w:r>
      <w:r>
        <w:rPr>
          <w:rFonts w:hint="eastAsia" w:asciiTheme="minorEastAsia" w:hAnsiTheme="minorEastAsia" w:eastAsiaTheme="minorEastAsia" w:cstheme="minorEastAsia"/>
          <w:sz w:val="21"/>
          <w:szCs w:val="21"/>
          <w:highlight w:val="none"/>
          <w:u w:val="single"/>
        </w:rPr>
        <w:t>（填写“联合体中各方的全称”，各方的全称之间请用“、”分割）</w:t>
      </w:r>
      <w:r>
        <w:rPr>
          <w:rFonts w:hint="eastAsia" w:asciiTheme="minorEastAsia" w:hAnsiTheme="minorEastAsia" w:eastAsiaTheme="minorEastAsia" w:cstheme="minorEastAsia"/>
          <w:sz w:val="21"/>
          <w:szCs w:val="21"/>
          <w:highlight w:val="none"/>
        </w:rPr>
        <w:t>自愿组成联合体，共同参加</w:t>
      </w:r>
      <w:r>
        <w:rPr>
          <w:rFonts w:hint="eastAsia" w:asciiTheme="minorEastAsia" w:hAnsiTheme="minorEastAsia" w:eastAsiaTheme="minorEastAsia" w:cstheme="minorEastAsia"/>
          <w:sz w:val="21"/>
          <w:szCs w:val="21"/>
          <w:highlight w:val="none"/>
          <w:u w:val="single"/>
        </w:rPr>
        <w:t>（填写“项目名称”） </w:t>
      </w:r>
      <w:r>
        <w:rPr>
          <w:rFonts w:hint="eastAsia" w:asciiTheme="minorEastAsia" w:hAnsiTheme="minorEastAsia" w:eastAsiaTheme="minorEastAsia" w:cstheme="minorEastAsia"/>
          <w:sz w:val="21"/>
          <w:szCs w:val="21"/>
          <w:highlight w:val="none"/>
        </w:rPr>
        <w:t>项目（招标编号：</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）的投标。现就联合体参加本项目投标的有关事宜达成下列协议：</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一、联合体各方应承担的工作和义务具体如下：</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1、牵头方（</w:t>
      </w:r>
      <w:r>
        <w:rPr>
          <w:rFonts w:hint="eastAsia" w:asciiTheme="minorEastAsia" w:hAnsiTheme="minorEastAsia" w:eastAsiaTheme="minorEastAsia" w:cstheme="minorEastAsia"/>
          <w:sz w:val="21"/>
          <w:szCs w:val="21"/>
          <w:highlight w:val="none"/>
          <w:u w:val="single"/>
        </w:rPr>
        <w:t>全称</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u w:val="single"/>
        </w:rPr>
        <w:t> （填写“工作及义务的具体内容”） </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2、成员方：</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2.1</w:t>
      </w:r>
      <w:r>
        <w:rPr>
          <w:rFonts w:hint="eastAsia" w:asciiTheme="minorEastAsia" w:hAnsiTheme="minorEastAsia" w:eastAsiaTheme="minorEastAsia" w:cstheme="minorEastAsia"/>
          <w:sz w:val="21"/>
          <w:szCs w:val="21"/>
          <w:highlight w:val="none"/>
          <w:u w:val="single"/>
        </w:rPr>
        <w:t>（成员一的全称）</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u w:val="single"/>
        </w:rPr>
        <w:t> （填写“工作及义务的具体内容”） </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二、联合体各方约定：</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1、由</w:t>
      </w:r>
      <w:r>
        <w:rPr>
          <w:rFonts w:hint="eastAsia" w:asciiTheme="minorEastAsia" w:hAnsiTheme="minorEastAsia" w:eastAsiaTheme="minorEastAsia" w:cstheme="minorEastAsia"/>
          <w:sz w:val="21"/>
          <w:szCs w:val="21"/>
          <w:highlight w:val="none"/>
          <w:u w:val="single"/>
        </w:rPr>
        <w:t>（填写“牵头方的全称”）</w:t>
      </w:r>
      <w:r>
        <w:rPr>
          <w:rFonts w:hint="eastAsia" w:asciiTheme="minorEastAsia" w:hAnsiTheme="minorEastAsia" w:eastAsiaTheme="minorEastAsia" w:cstheme="minorEastAsia"/>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2、联合体各方约定由</w:t>
      </w:r>
      <w:r>
        <w:rPr>
          <w:rFonts w:hint="eastAsia" w:asciiTheme="minorEastAsia" w:hAnsiTheme="minorEastAsia" w:eastAsiaTheme="minorEastAsia" w:cstheme="minorEastAsia"/>
          <w:sz w:val="21"/>
          <w:szCs w:val="21"/>
          <w:highlight w:val="none"/>
          <w:u w:val="single"/>
        </w:rPr>
        <w:t>（填写“牵头方的全称”）</w:t>
      </w:r>
      <w:r>
        <w:rPr>
          <w:rFonts w:hint="eastAsia" w:asciiTheme="minorEastAsia" w:hAnsiTheme="minorEastAsia" w:eastAsiaTheme="minorEastAsia" w:cstheme="minorEastAsia"/>
          <w:sz w:val="21"/>
          <w:szCs w:val="21"/>
          <w:highlight w:val="none"/>
        </w:rPr>
        <w:t>代表联合体办理投标保证金事宜。</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3、</w:t>
      </w:r>
      <w:r>
        <w:rPr>
          <w:rFonts w:hint="eastAsia" w:asciiTheme="minorEastAsia" w:hAnsiTheme="minorEastAsia" w:eastAsiaTheme="minorEastAsia" w:cstheme="minorEastAsia"/>
          <w:i w:val="0"/>
          <w:color w:val="000000"/>
          <w:spacing w:val="0"/>
          <w:sz w:val="21"/>
          <w:szCs w:val="21"/>
          <w:highlight w:val="none"/>
        </w:rPr>
        <w:t>根据福建省财政厅文件（闽财购[2008]10号）的规定，若本项目采用综合评分法，则联合体只能确定由其中一方的条件参与商务部分的评标。因此，联合体各方约定以</w:t>
      </w:r>
      <w:r>
        <w:rPr>
          <w:rFonts w:hint="eastAsia" w:asciiTheme="minorEastAsia" w:hAnsiTheme="minorEastAsia" w:eastAsiaTheme="minorEastAsia" w:cstheme="minorEastAsia"/>
          <w:i w:val="0"/>
          <w:color w:val="000000"/>
          <w:spacing w:val="0"/>
          <w:sz w:val="21"/>
          <w:szCs w:val="21"/>
          <w:highlight w:val="none"/>
          <w:u w:val="single"/>
        </w:rPr>
        <w:t>（应填写“其中一方的全称”，如：联合体确定以成员一的条件参与商务部分的评标，则填写“成员一的全称”…；否则填写“无”）</w:t>
      </w:r>
      <w:r>
        <w:rPr>
          <w:rFonts w:hint="eastAsia" w:asciiTheme="minorEastAsia" w:hAnsiTheme="minorEastAsia" w:eastAsiaTheme="minorEastAsia" w:cstheme="minorEastAsia"/>
          <w:i w:val="0"/>
          <w:color w:val="000000"/>
          <w:spacing w:val="0"/>
          <w:sz w:val="21"/>
          <w:szCs w:val="21"/>
          <w:highlight w:val="none"/>
        </w:rPr>
        <w:t>的条件参与商务部分的评标。</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四、本协议自签署之日起生效，政府采购合同履行完毕后自动失效。</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五、本协议一式</w:t>
      </w:r>
      <w:r>
        <w:rPr>
          <w:rFonts w:hint="eastAsia" w:asciiTheme="minorEastAsia" w:hAnsiTheme="minorEastAsia" w:eastAsiaTheme="minorEastAsia" w:cstheme="minorEastAsia"/>
          <w:sz w:val="21"/>
          <w:szCs w:val="21"/>
          <w:highlight w:val="none"/>
          <w:u w:val="single"/>
        </w:rPr>
        <w:t>（填写具体份数）</w:t>
      </w:r>
      <w:r>
        <w:rPr>
          <w:rFonts w:hint="eastAsia" w:asciiTheme="minorEastAsia" w:hAnsiTheme="minorEastAsia" w:eastAsiaTheme="minorEastAsia" w:cstheme="minorEastAsia"/>
          <w:sz w:val="21"/>
          <w:szCs w:val="21"/>
          <w:highlight w:val="none"/>
        </w:rPr>
        <w:t>份，联合体各方各执一份，投标文件中提交一份。</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（以下无正文）</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牵头方：</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法定代表人或其委托代理人：</w:t>
      </w:r>
      <w:r>
        <w:rPr>
          <w:rFonts w:hint="eastAsia" w:asciiTheme="minorEastAsia" w:hAnsiTheme="minorEastAsia" w:eastAsiaTheme="minorEastAsia" w:cstheme="minorEastAsia"/>
          <w:sz w:val="21"/>
          <w:szCs w:val="21"/>
          <w:highlight w:val="none"/>
          <w:u w:val="single"/>
        </w:rPr>
        <w:t>  （签字或盖章）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成员一：</w:t>
      </w:r>
      <w:r>
        <w:rPr>
          <w:rFonts w:hint="eastAsia" w:asciiTheme="minorEastAsia" w:hAnsiTheme="minorEastAsia" w:eastAsiaTheme="minorEastAsia" w:cstheme="minorEastAsia"/>
          <w:sz w:val="21"/>
          <w:szCs w:val="21"/>
          <w:highlight w:val="none"/>
          <w:u w:val="single"/>
        </w:rPr>
        <w:t>（全称并加盖成员一的单位公章）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法定代表人或其委托代理人：</w:t>
      </w:r>
      <w:r>
        <w:rPr>
          <w:rFonts w:hint="eastAsia" w:asciiTheme="minorEastAsia" w:hAnsiTheme="minorEastAsia" w:eastAsiaTheme="minorEastAsia" w:cstheme="minorEastAsia"/>
          <w:sz w:val="21"/>
          <w:szCs w:val="21"/>
          <w:highlight w:val="none"/>
          <w:u w:val="single"/>
        </w:rPr>
        <w:t>  （签字或盖章）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成员**：</w:t>
      </w:r>
      <w:r>
        <w:rPr>
          <w:rFonts w:hint="eastAsia" w:asciiTheme="minorEastAsia" w:hAnsiTheme="minorEastAsia" w:eastAsiaTheme="minorEastAsia" w:cstheme="minorEastAsia"/>
          <w:sz w:val="21"/>
          <w:szCs w:val="21"/>
          <w:highlight w:val="none"/>
          <w:u w:val="single"/>
        </w:rPr>
        <w:t>（全称并加盖成员**的单位公章）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法定代表人或其委托代理人：</w:t>
      </w:r>
      <w:r>
        <w:rPr>
          <w:rFonts w:hint="eastAsia" w:asciiTheme="minorEastAsia" w:hAnsiTheme="minorEastAsia" w:eastAsiaTheme="minorEastAsia" w:cstheme="minorEastAsia"/>
          <w:sz w:val="21"/>
          <w:szCs w:val="21"/>
          <w:highlight w:val="none"/>
          <w:u w:val="single"/>
        </w:rPr>
        <w:t>  （签字或盖章）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签署日期：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1、招标文件接受联合体投标且投标人为联合体的，投标人应提供本协议；否则无须提供。</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2、本协议由委托代理人签字或盖章的，应按照本章载明的格式提供“单位负责人授权书”。</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3、纸质投标文件正本中的本协议（若有）应为原件。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二-11中小企业声明函</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（专门面向中小企业或小型、微型企业适用，若有）</w:t>
      </w:r>
    </w:p>
    <w:p>
      <w:pPr>
        <w:pStyle w:val="2"/>
        <w:keepNext w:val="0"/>
        <w:keepLines w:val="0"/>
        <w:widowControl/>
        <w:suppressLineNumbers w:val="0"/>
        <w:spacing w:before="132" w:beforeAutospacing="0" w:after="120" w:afterAutospacing="0" w:line="13" w:lineRule="atLeast"/>
        <w:ind w:left="0" w:right="0"/>
        <w:rPr>
          <w:rFonts w:hint="eastAsia" w:asciiTheme="minorEastAsia" w:hAnsiTheme="minorEastAsia" w:eastAsiaTheme="minorEastAsia" w:cstheme="minorEastAsia"/>
          <w:b w:val="0"/>
          <w:sz w:val="21"/>
          <w:szCs w:val="21"/>
          <w:highlight w:val="none"/>
        </w:rPr>
      </w:pPr>
      <w:r>
        <w:rPr>
          <w:rFonts w:hint="eastAsia" w:asciiTheme="minorEastAsia" w:hAnsiTheme="minorEastAsia" w:eastAsiaTheme="minorEastAsia" w:cstheme="minorEastAsia"/>
          <w:b w:val="0"/>
          <w:sz w:val="21"/>
          <w:szCs w:val="21"/>
          <w:highlight w:val="none"/>
        </w:rPr>
        <w:t> </w:t>
      </w:r>
    </w:p>
    <w:p>
      <w:pPr>
        <w:pStyle w:val="7"/>
        <w:keepNext w:val="0"/>
        <w:keepLines w:val="0"/>
        <w:widowControl/>
        <w:suppressLineNumbers w:val="0"/>
        <w:spacing w:before="60" w:beforeAutospacing="0" w:after="60" w:afterAutospacing="0"/>
        <w:ind w:left="0" w:right="0" w:firstLine="336"/>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中小企业声明函（货物）</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本公司（联合体）郑重声明，根据《政府采购促进中小企业发展管理办法》（财库﹝2020﹞46 号）的规定，本公司（联合体）参加</w:t>
      </w:r>
      <w:r>
        <w:rPr>
          <w:rFonts w:hint="eastAsia" w:asciiTheme="minorEastAsia" w:hAnsiTheme="minorEastAsia" w:eastAsiaTheme="minorEastAsia" w:cstheme="minorEastAsia"/>
          <w:spacing w:val="0"/>
          <w:sz w:val="21"/>
          <w:szCs w:val="21"/>
          <w:highlight w:val="none"/>
          <w:u w:val="single"/>
        </w:rPr>
        <w:t>（单位名称）</w:t>
      </w:r>
      <w:r>
        <w:rPr>
          <w:rFonts w:hint="eastAsia" w:asciiTheme="minorEastAsia" w:hAnsiTheme="minorEastAsia" w:eastAsiaTheme="minorEastAsia" w:cstheme="minorEastAsia"/>
          <w:spacing w:val="0"/>
          <w:sz w:val="21"/>
          <w:szCs w:val="21"/>
          <w:highlight w:val="none"/>
        </w:rPr>
        <w:t>的</w:t>
      </w:r>
      <w:r>
        <w:rPr>
          <w:rFonts w:hint="eastAsia" w:asciiTheme="minorEastAsia" w:hAnsiTheme="minorEastAsia" w:eastAsiaTheme="minorEastAsia" w:cstheme="minorEastAsia"/>
          <w:spacing w:val="0"/>
          <w:sz w:val="21"/>
          <w:szCs w:val="21"/>
          <w:highlight w:val="none"/>
          <w:u w:val="single"/>
        </w:rPr>
        <w:t>（项目名称）</w:t>
      </w:r>
      <w:r>
        <w:rPr>
          <w:rFonts w:hint="eastAsia" w:asciiTheme="minorEastAsia" w:hAnsiTheme="minorEastAsia" w:eastAsiaTheme="minorEastAsia" w:cstheme="minorEastAsia"/>
          <w:spacing w:val="0"/>
          <w:sz w:val="21"/>
          <w:szCs w:val="21"/>
          <w:highlight w:val="none"/>
        </w:rPr>
        <w:t>采购活动，提供的货物全部由符合政策要求的中小企业制造。相关企业（含联合体中的中小企业、签订分包意向协议的中小企业）的具体情况如下：</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 </w:t>
      </w:r>
      <w:r>
        <w:rPr>
          <w:rFonts w:hint="eastAsia" w:asciiTheme="minorEastAsia" w:hAnsiTheme="minorEastAsia" w:eastAsiaTheme="minorEastAsia" w:cstheme="minorEastAsia"/>
          <w:spacing w:val="0"/>
          <w:sz w:val="21"/>
          <w:szCs w:val="21"/>
          <w:highlight w:val="none"/>
          <w:u w:val="single"/>
        </w:rPr>
        <w:t> （标的名称） </w:t>
      </w:r>
      <w:r>
        <w:rPr>
          <w:rFonts w:hint="eastAsia" w:asciiTheme="minorEastAsia" w:hAnsiTheme="minorEastAsia" w:eastAsiaTheme="minorEastAsia" w:cstheme="minorEastAsia"/>
          <w:spacing w:val="0"/>
          <w:sz w:val="21"/>
          <w:szCs w:val="21"/>
          <w:highlight w:val="none"/>
        </w:rPr>
        <w:t>，属于</w:t>
      </w:r>
      <w:r>
        <w:rPr>
          <w:rFonts w:hint="eastAsia" w:asciiTheme="minorEastAsia" w:hAnsiTheme="minorEastAsia" w:eastAsiaTheme="minorEastAsia" w:cstheme="minorEastAsia"/>
          <w:spacing w:val="0"/>
          <w:sz w:val="21"/>
          <w:szCs w:val="21"/>
          <w:highlight w:val="none"/>
          <w:u w:val="single"/>
        </w:rPr>
        <w:t>（采购文件中明确的所属行业）行业</w:t>
      </w:r>
      <w:r>
        <w:rPr>
          <w:rFonts w:hint="eastAsia" w:asciiTheme="minorEastAsia" w:hAnsiTheme="minorEastAsia" w:eastAsiaTheme="minorEastAsia" w:cstheme="minorEastAsia"/>
          <w:spacing w:val="0"/>
          <w:sz w:val="21"/>
          <w:szCs w:val="21"/>
          <w:highlight w:val="none"/>
        </w:rPr>
        <w:t>；制造商为</w:t>
      </w:r>
      <w:r>
        <w:rPr>
          <w:rFonts w:hint="eastAsia" w:asciiTheme="minorEastAsia" w:hAnsiTheme="minorEastAsia" w:eastAsiaTheme="minorEastAsia" w:cstheme="minorEastAsia"/>
          <w:spacing w:val="0"/>
          <w:sz w:val="21"/>
          <w:szCs w:val="21"/>
          <w:highlight w:val="none"/>
          <w:u w:val="single"/>
        </w:rPr>
        <w:t>（企业名称）</w:t>
      </w:r>
      <w:r>
        <w:rPr>
          <w:rFonts w:hint="eastAsia" w:asciiTheme="minorEastAsia" w:hAnsiTheme="minorEastAsia" w:eastAsiaTheme="minorEastAsia" w:cstheme="minorEastAsia"/>
          <w:spacing w:val="0"/>
          <w:sz w:val="21"/>
          <w:szCs w:val="21"/>
          <w:highlight w:val="none"/>
        </w:rPr>
        <w:t>，从业人员</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人，营业收入为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万元，资产总额为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w:t>
      </w:r>
      <w:r>
        <w:rPr>
          <w:rFonts w:hint="eastAsia" w:asciiTheme="minorEastAsia" w:hAnsiTheme="minorEastAsia" w:eastAsiaTheme="minorEastAsia" w:cstheme="minorEastAsia"/>
          <w:spacing w:val="0"/>
          <w:sz w:val="21"/>
          <w:szCs w:val="21"/>
          <w:highlight w:val="none"/>
          <w:vertAlign w:val="superscript"/>
        </w:rPr>
        <w:t>1</w:t>
      </w:r>
      <w:r>
        <w:rPr>
          <w:rFonts w:hint="eastAsia" w:asciiTheme="minorEastAsia" w:hAnsiTheme="minorEastAsia" w:eastAsiaTheme="minorEastAsia" w:cstheme="minorEastAsia"/>
          <w:spacing w:val="0"/>
          <w:sz w:val="21"/>
          <w:szCs w:val="21"/>
          <w:highlight w:val="none"/>
        </w:rPr>
        <w:t>，属于</w:t>
      </w:r>
      <w:r>
        <w:rPr>
          <w:rFonts w:hint="eastAsia" w:asciiTheme="minorEastAsia" w:hAnsiTheme="minorEastAsia" w:eastAsiaTheme="minorEastAsia" w:cstheme="minorEastAsia"/>
          <w:spacing w:val="0"/>
          <w:sz w:val="21"/>
          <w:szCs w:val="21"/>
          <w:highlight w:val="none"/>
          <w:u w:val="single"/>
        </w:rPr>
        <w:t>（中型企业、小型企业、微型企业）；</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2. </w:t>
      </w:r>
      <w:r>
        <w:rPr>
          <w:rFonts w:hint="eastAsia" w:asciiTheme="minorEastAsia" w:hAnsiTheme="minorEastAsia" w:eastAsiaTheme="minorEastAsia" w:cstheme="minorEastAsia"/>
          <w:spacing w:val="0"/>
          <w:sz w:val="21"/>
          <w:szCs w:val="21"/>
          <w:highlight w:val="none"/>
          <w:u w:val="single"/>
        </w:rPr>
        <w:t> （标的名称） </w:t>
      </w:r>
      <w:r>
        <w:rPr>
          <w:rFonts w:hint="eastAsia" w:asciiTheme="minorEastAsia" w:hAnsiTheme="minorEastAsia" w:eastAsiaTheme="minorEastAsia" w:cstheme="minorEastAsia"/>
          <w:spacing w:val="0"/>
          <w:sz w:val="21"/>
          <w:szCs w:val="21"/>
          <w:highlight w:val="none"/>
        </w:rPr>
        <w:t>，属于</w:t>
      </w:r>
      <w:r>
        <w:rPr>
          <w:rFonts w:hint="eastAsia" w:asciiTheme="minorEastAsia" w:hAnsiTheme="minorEastAsia" w:eastAsiaTheme="minorEastAsia" w:cstheme="minorEastAsia"/>
          <w:spacing w:val="0"/>
          <w:sz w:val="21"/>
          <w:szCs w:val="21"/>
          <w:highlight w:val="none"/>
          <w:u w:val="single"/>
        </w:rPr>
        <w:t> （采购文件中明确的所属行业 ）行业；</w:t>
      </w:r>
      <w:r>
        <w:rPr>
          <w:rFonts w:hint="eastAsia" w:asciiTheme="minorEastAsia" w:hAnsiTheme="minorEastAsia" w:eastAsiaTheme="minorEastAsia" w:cstheme="minorEastAsia"/>
          <w:spacing w:val="0"/>
          <w:sz w:val="21"/>
          <w:szCs w:val="21"/>
          <w:highlight w:val="none"/>
        </w:rPr>
        <w:t>制造商为</w:t>
      </w:r>
      <w:r>
        <w:rPr>
          <w:rFonts w:hint="eastAsia" w:asciiTheme="minorEastAsia" w:hAnsiTheme="minorEastAsia" w:eastAsiaTheme="minorEastAsia" w:cstheme="minorEastAsia"/>
          <w:spacing w:val="0"/>
          <w:sz w:val="21"/>
          <w:szCs w:val="21"/>
          <w:highlight w:val="none"/>
          <w:u w:val="single"/>
        </w:rPr>
        <w:t>（企业名称），</w:t>
      </w:r>
      <w:r>
        <w:rPr>
          <w:rFonts w:hint="eastAsia" w:asciiTheme="minorEastAsia" w:hAnsiTheme="minorEastAsia" w:eastAsiaTheme="minorEastAsia" w:cstheme="minorEastAsia"/>
          <w:spacing w:val="0"/>
          <w:sz w:val="21"/>
          <w:szCs w:val="21"/>
          <w:highlight w:val="none"/>
        </w:rPr>
        <w:t>从业人员</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人，营业收入为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万元，资产总额为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万元，属于</w:t>
      </w:r>
      <w:r>
        <w:rPr>
          <w:rFonts w:hint="eastAsia" w:asciiTheme="minorEastAsia" w:hAnsiTheme="minorEastAsia" w:eastAsiaTheme="minorEastAsia" w:cstheme="minorEastAsia"/>
          <w:spacing w:val="0"/>
          <w:sz w:val="21"/>
          <w:szCs w:val="21"/>
          <w:highlight w:val="none"/>
          <w:u w:val="single"/>
        </w:rPr>
        <w:t>（中型企业、小型企业、微型企业）；</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以上企业，不属于大企业的分支机构，不存在控股股东为大企业的情形，也不存在与大企业的负责人为同一人的情形。</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本企业对上述声明内容的真实性负责。如有虚假，将依法承担相应责任。</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企业名称（盖章）：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日期：</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1从业人员、营业收入、资产总额填报上一年度数据，无上一年度数据的新成立企业可不填报。</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中小企业声明函（工程、服务）</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本公司（联合体）郑重声明，根据《政府采购促进中小企业发展管理办法》（财库﹝2020﹞46 号）的规定，本公司（联合体）参加</w:t>
      </w:r>
      <w:r>
        <w:rPr>
          <w:rFonts w:hint="eastAsia" w:asciiTheme="minorEastAsia" w:hAnsiTheme="minorEastAsia" w:eastAsiaTheme="minorEastAsia" w:cstheme="minorEastAsia"/>
          <w:spacing w:val="0"/>
          <w:sz w:val="21"/>
          <w:szCs w:val="21"/>
          <w:highlight w:val="none"/>
          <w:u w:val="single"/>
        </w:rPr>
        <w:t>（单位名称）</w:t>
      </w:r>
      <w:r>
        <w:rPr>
          <w:rFonts w:hint="eastAsia" w:asciiTheme="minorEastAsia" w:hAnsiTheme="minorEastAsia" w:eastAsiaTheme="minorEastAsia" w:cstheme="minorEastAsia"/>
          <w:spacing w:val="0"/>
          <w:sz w:val="21"/>
          <w:szCs w:val="21"/>
          <w:highlight w:val="none"/>
        </w:rPr>
        <w:t>的</w:t>
      </w:r>
      <w:r>
        <w:rPr>
          <w:rFonts w:hint="eastAsia" w:asciiTheme="minorEastAsia" w:hAnsiTheme="minorEastAsia" w:eastAsiaTheme="minorEastAsia" w:cstheme="minorEastAsia"/>
          <w:spacing w:val="0"/>
          <w:sz w:val="21"/>
          <w:szCs w:val="21"/>
          <w:highlight w:val="none"/>
          <w:u w:val="single"/>
        </w:rPr>
        <w:t>（项目名称）</w:t>
      </w:r>
      <w:r>
        <w:rPr>
          <w:rFonts w:hint="eastAsia" w:asciiTheme="minorEastAsia" w:hAnsiTheme="minorEastAsia" w:eastAsiaTheme="minorEastAsia" w:cstheme="minorEastAsia"/>
          <w:spacing w:val="0"/>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 </w:t>
      </w:r>
      <w:r>
        <w:rPr>
          <w:rFonts w:hint="eastAsia" w:asciiTheme="minorEastAsia" w:hAnsiTheme="minorEastAsia" w:eastAsiaTheme="minorEastAsia" w:cstheme="minorEastAsia"/>
          <w:spacing w:val="0"/>
          <w:sz w:val="21"/>
          <w:szCs w:val="21"/>
          <w:highlight w:val="none"/>
          <w:u w:val="single"/>
        </w:rPr>
        <w:t>（标的名称）</w:t>
      </w:r>
      <w:r>
        <w:rPr>
          <w:rFonts w:hint="eastAsia" w:asciiTheme="minorEastAsia" w:hAnsiTheme="minorEastAsia" w:eastAsiaTheme="minorEastAsia" w:cstheme="minorEastAsia"/>
          <w:spacing w:val="0"/>
          <w:sz w:val="21"/>
          <w:szCs w:val="21"/>
          <w:highlight w:val="none"/>
        </w:rPr>
        <w:t>，属于</w:t>
      </w:r>
      <w:r>
        <w:rPr>
          <w:rFonts w:hint="eastAsia" w:asciiTheme="minorEastAsia" w:hAnsiTheme="minorEastAsia" w:eastAsiaTheme="minorEastAsia" w:cstheme="minorEastAsia"/>
          <w:spacing w:val="0"/>
          <w:sz w:val="21"/>
          <w:szCs w:val="21"/>
          <w:highlight w:val="none"/>
          <w:u w:val="single"/>
        </w:rPr>
        <w:t>（采购文件中明确的所属行业）</w:t>
      </w:r>
      <w:r>
        <w:rPr>
          <w:rFonts w:hint="eastAsia" w:asciiTheme="minorEastAsia" w:hAnsiTheme="minorEastAsia" w:eastAsiaTheme="minorEastAsia" w:cstheme="minorEastAsia"/>
          <w:spacing w:val="0"/>
          <w:sz w:val="21"/>
          <w:szCs w:val="21"/>
          <w:highlight w:val="none"/>
        </w:rPr>
        <w:t>；承建（承接）企业为</w:t>
      </w:r>
      <w:r>
        <w:rPr>
          <w:rFonts w:hint="eastAsia" w:asciiTheme="minorEastAsia" w:hAnsiTheme="minorEastAsia" w:eastAsiaTheme="minorEastAsia" w:cstheme="minorEastAsia"/>
          <w:spacing w:val="0"/>
          <w:sz w:val="21"/>
          <w:szCs w:val="21"/>
          <w:highlight w:val="none"/>
          <w:u w:val="single"/>
        </w:rPr>
        <w:t>（企业名称）</w:t>
      </w:r>
      <w:r>
        <w:rPr>
          <w:rFonts w:hint="eastAsia" w:asciiTheme="minorEastAsia" w:hAnsiTheme="minorEastAsia" w:eastAsiaTheme="minorEastAsia" w:cstheme="minorEastAsia"/>
          <w:spacing w:val="0"/>
          <w:sz w:val="21"/>
          <w:szCs w:val="21"/>
          <w:highlight w:val="none"/>
        </w:rPr>
        <w:t>，从业人员</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人，营业收入为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万元，资产总额为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w:t>
      </w:r>
      <w:r>
        <w:rPr>
          <w:rFonts w:hint="eastAsia" w:asciiTheme="minorEastAsia" w:hAnsiTheme="minorEastAsia" w:eastAsiaTheme="minorEastAsia" w:cstheme="minorEastAsia"/>
          <w:spacing w:val="0"/>
          <w:sz w:val="21"/>
          <w:szCs w:val="21"/>
          <w:highlight w:val="none"/>
          <w:vertAlign w:val="superscript"/>
        </w:rPr>
        <w:t>1</w:t>
      </w:r>
      <w:r>
        <w:rPr>
          <w:rFonts w:hint="eastAsia" w:asciiTheme="minorEastAsia" w:hAnsiTheme="minorEastAsia" w:eastAsiaTheme="minorEastAsia" w:cstheme="minorEastAsia"/>
          <w:spacing w:val="0"/>
          <w:sz w:val="21"/>
          <w:szCs w:val="21"/>
          <w:highlight w:val="none"/>
        </w:rPr>
        <w:t>，属于</w:t>
      </w:r>
      <w:r>
        <w:rPr>
          <w:rFonts w:hint="eastAsia" w:asciiTheme="minorEastAsia" w:hAnsiTheme="minorEastAsia" w:eastAsiaTheme="minorEastAsia" w:cstheme="minorEastAsia"/>
          <w:spacing w:val="0"/>
          <w:sz w:val="21"/>
          <w:szCs w:val="21"/>
          <w:highlight w:val="none"/>
          <w:u w:val="single"/>
        </w:rPr>
        <w:t>（中型企业、小型企业、微型企业）；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2. </w:t>
      </w:r>
      <w:r>
        <w:rPr>
          <w:rFonts w:hint="eastAsia" w:asciiTheme="minorEastAsia" w:hAnsiTheme="minorEastAsia" w:eastAsiaTheme="minorEastAsia" w:cstheme="minorEastAsia"/>
          <w:spacing w:val="0"/>
          <w:sz w:val="21"/>
          <w:szCs w:val="21"/>
          <w:highlight w:val="none"/>
          <w:u w:val="single"/>
        </w:rPr>
        <w:t>（标的名称）</w:t>
      </w:r>
      <w:r>
        <w:rPr>
          <w:rFonts w:hint="eastAsia" w:asciiTheme="minorEastAsia" w:hAnsiTheme="minorEastAsia" w:eastAsiaTheme="minorEastAsia" w:cstheme="minorEastAsia"/>
          <w:spacing w:val="0"/>
          <w:sz w:val="21"/>
          <w:szCs w:val="21"/>
          <w:highlight w:val="none"/>
        </w:rPr>
        <w:t>，属于</w:t>
      </w:r>
      <w:r>
        <w:rPr>
          <w:rFonts w:hint="eastAsia" w:asciiTheme="minorEastAsia" w:hAnsiTheme="minorEastAsia" w:eastAsiaTheme="minorEastAsia" w:cstheme="minorEastAsia"/>
          <w:spacing w:val="0"/>
          <w:sz w:val="21"/>
          <w:szCs w:val="21"/>
          <w:highlight w:val="none"/>
          <w:u w:val="single"/>
        </w:rPr>
        <w:t>（采购文件中明确的所属行业）；</w:t>
      </w:r>
      <w:r>
        <w:rPr>
          <w:rFonts w:hint="eastAsia" w:asciiTheme="minorEastAsia" w:hAnsiTheme="minorEastAsia" w:eastAsiaTheme="minorEastAsia" w:cstheme="minorEastAsia"/>
          <w:spacing w:val="0"/>
          <w:sz w:val="21"/>
          <w:szCs w:val="21"/>
          <w:highlight w:val="none"/>
        </w:rPr>
        <w:t>承建（承接）企业为</w:t>
      </w:r>
      <w:r>
        <w:rPr>
          <w:rFonts w:hint="eastAsia" w:asciiTheme="minorEastAsia" w:hAnsiTheme="minorEastAsia" w:eastAsiaTheme="minorEastAsia" w:cstheme="minorEastAsia"/>
          <w:spacing w:val="0"/>
          <w:sz w:val="21"/>
          <w:szCs w:val="21"/>
          <w:highlight w:val="none"/>
          <w:u w:val="single"/>
        </w:rPr>
        <w:t>（企业名称）</w:t>
      </w:r>
      <w:r>
        <w:rPr>
          <w:rFonts w:hint="eastAsia" w:asciiTheme="minorEastAsia" w:hAnsiTheme="minorEastAsia" w:eastAsiaTheme="minorEastAsia" w:cstheme="minorEastAsia"/>
          <w:spacing w:val="0"/>
          <w:sz w:val="21"/>
          <w:szCs w:val="21"/>
          <w:highlight w:val="none"/>
        </w:rPr>
        <w:t>，从业人员</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人，营业收入为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万元，资产总额为</w:t>
      </w:r>
      <w:r>
        <w:rPr>
          <w:rFonts w:hint="eastAsia" w:asciiTheme="minorEastAsia" w:hAnsiTheme="minorEastAsia" w:eastAsiaTheme="minorEastAsia" w:cstheme="minorEastAsia"/>
          <w:spacing w:val="0"/>
          <w:sz w:val="21"/>
          <w:szCs w:val="21"/>
          <w:highlight w:val="none"/>
          <w:u w:val="single"/>
        </w:rPr>
        <w:t>  </w:t>
      </w:r>
      <w:r>
        <w:rPr>
          <w:rFonts w:hint="eastAsia" w:asciiTheme="minorEastAsia" w:hAnsiTheme="minorEastAsia" w:eastAsiaTheme="minorEastAsia" w:cstheme="minorEastAsia"/>
          <w:spacing w:val="0"/>
          <w:sz w:val="21"/>
          <w:szCs w:val="21"/>
          <w:highlight w:val="none"/>
        </w:rPr>
        <w:t>万元，属于</w:t>
      </w:r>
      <w:r>
        <w:rPr>
          <w:rFonts w:hint="eastAsia" w:asciiTheme="minorEastAsia" w:hAnsiTheme="minorEastAsia" w:eastAsiaTheme="minorEastAsia" w:cstheme="minorEastAsia"/>
          <w:spacing w:val="0"/>
          <w:sz w:val="21"/>
          <w:szCs w:val="21"/>
          <w:highlight w:val="none"/>
          <w:u w:val="single"/>
        </w:rPr>
        <w:t>（中型企业、小型企业、微型企业）；</w:t>
      </w:r>
      <w:r>
        <w:rPr>
          <w:rFonts w:hint="eastAsia" w:asciiTheme="minorEastAsia" w:hAnsiTheme="minorEastAsia" w:eastAsiaTheme="minorEastAsia" w:cstheme="minorEastAsia"/>
          <w:spacing w:val="0"/>
          <w:sz w:val="21"/>
          <w:szCs w:val="21"/>
          <w:highlight w:val="none"/>
          <w:u w:val="singl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以上企业，不属于大企业的分支机构，不存在控股股东为大企业的情形，也不存在与大企业的负责人为同一人的情形。</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本企业对上述声明内容的真实性负责。如有虚假，将依法承担相应责任。</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企业名称（盖章）：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日期：</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1从业人员、营业收入、资产总额填报上一年度数据，无上一年度数据的新成立企业可不填报。</w:t>
      </w:r>
    </w:p>
    <w:p>
      <w:pPr>
        <w:pStyle w:val="2"/>
        <w:keepNext w:val="0"/>
        <w:keepLines w:val="0"/>
        <w:widowControl/>
        <w:suppressLineNumbers w:val="0"/>
        <w:spacing w:before="132" w:beforeAutospacing="0" w:after="120" w:afterAutospacing="0" w:line="13" w:lineRule="atLeast"/>
        <w:ind w:left="0" w:right="0"/>
        <w:rPr>
          <w:rFonts w:hint="eastAsia" w:asciiTheme="minorEastAsia" w:hAnsiTheme="minorEastAsia" w:eastAsiaTheme="minorEastAsia" w:cstheme="minorEastAsia"/>
          <w:b w:val="0"/>
          <w:sz w:val="21"/>
          <w:szCs w:val="21"/>
          <w:highlight w:val="none"/>
        </w:rPr>
      </w:pPr>
      <w:r>
        <w:rPr>
          <w:rFonts w:hint="eastAsia" w:asciiTheme="minorEastAsia" w:hAnsiTheme="minorEastAsia" w:eastAsiaTheme="minorEastAsia" w:cstheme="minorEastAsia"/>
          <w:b w:val="0"/>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附：</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残疾人福利性单位声明函</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（专门面向中小企业或小型、微型企业适用，若有）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Theme="minorEastAsia" w:hAnsiTheme="minorEastAsia" w:eastAsiaTheme="minorEastAsia" w:cstheme="minorEastAsia"/>
          <w:sz w:val="21"/>
          <w:szCs w:val="21"/>
          <w:highlight w:val="none"/>
          <w:u w:val="single"/>
        </w:rPr>
        <w:t>（填写“项目名称”）</w:t>
      </w:r>
      <w:r>
        <w:rPr>
          <w:rFonts w:hint="eastAsia" w:asciiTheme="minorEastAsia" w:hAnsiTheme="minorEastAsia" w:eastAsiaTheme="minorEastAsia" w:cstheme="minorEastAsia"/>
          <w:sz w:val="21"/>
          <w:szCs w:val="21"/>
          <w:highlight w:val="none"/>
        </w:rPr>
        <w:t>项目采购活动：</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）提供本投标人制造的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货物，或提供其他残疾人福利性单位制造的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货物（不包括使用非残疾人福利性单位注册商标的货物）。（说明：只有部分货物由残疾人福利企业制造的，在该货物后标</w:t>
      </w:r>
      <w:r>
        <w:rPr>
          <w:rFonts w:hint="eastAsia" w:asciiTheme="minorEastAsia" w:hAnsiTheme="minorEastAsia" w:eastAsiaTheme="minorEastAsia" w:cstheme="minorEastAsia"/>
          <w:color w:val="333333"/>
          <w:sz w:val="21"/>
          <w:szCs w:val="21"/>
          <w:highlight w:val="none"/>
          <w:shd w:val="clear" w:fill="FFFFFF"/>
        </w:rPr>
        <w:t>★</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）由本投标人承建的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工程</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）由本投标人承接的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服务；</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本投标人对上述声明的真实性负责。如有虚假，将依法承担相应责任。</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1、请投标人按照实际情况编制填写本声明函，并在相应的（）中打“√”。</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2、纸质投标文件正本中的本声明函（若有）应为原件。</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3、若《残疾人福利性单位声明函》内容不真实，</w:t>
      </w:r>
      <w:r>
        <w:rPr>
          <w:rStyle w:val="10"/>
          <w:rFonts w:hint="eastAsia" w:asciiTheme="minorEastAsia" w:hAnsiTheme="minorEastAsia" w:eastAsiaTheme="minorEastAsia" w:cstheme="minorEastAsia"/>
          <w:b/>
          <w:sz w:val="21"/>
          <w:szCs w:val="21"/>
          <w:highlight w:val="none"/>
        </w:rPr>
        <w:t>视为提供虚假材料。</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二-12其他资格证明文件（若有）</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w:t>
      </w:r>
      <w:r>
        <w:rPr>
          <w:rStyle w:val="10"/>
          <w:rFonts w:hint="eastAsia" w:asciiTheme="minorEastAsia" w:hAnsiTheme="minorEastAsia" w:eastAsiaTheme="minorEastAsia" w:cstheme="minorEastAsia"/>
          <w:b/>
          <w:sz w:val="21"/>
          <w:szCs w:val="21"/>
          <w:highlight w:val="none"/>
        </w:rPr>
        <w:t>-12-①具备履行合同所必需设备和专业技术能力专项证明材料（若有）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致：</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现附上我方具备履行合同所必需的设备和专业技术能力的专项证明材料复印件（具体附后），上述证明材料真实有效，否则我方负全部责任。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1、招标文件要求投标人提供“具备履行合同所必需的设备和专业技术能力专项证明材料”的，投标人应按照招标文件规定在此项下提供相应证明材料复印件。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2、投标人提供的相应证明材料复印件均应符合：内容完整、清晰、整洁，并由投标人加盖其单位公章。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二-12-②招标文件规定的其他资格证明文件（若有）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除招标文件另有规定外，招标文件要求提交的除前述资格证明文件外的其他资格证明文件（若有）加盖投标人的单位公章后应在此项下提交。</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w:t>
      </w:r>
      <w:r>
        <w:rPr>
          <w:rStyle w:val="10"/>
          <w:rFonts w:hint="eastAsia" w:asciiTheme="minorEastAsia" w:hAnsiTheme="minorEastAsia" w:eastAsiaTheme="minorEastAsia" w:cstheme="minorEastAsia"/>
          <w:b/>
          <w:sz w:val="21"/>
          <w:szCs w:val="21"/>
          <w:highlight w:val="none"/>
        </w:rPr>
        <w:t>、投标保证金</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1、在此项下提交的</w:t>
      </w:r>
      <w:r>
        <w:rPr>
          <w:rStyle w:val="10"/>
          <w:rFonts w:hint="eastAsia" w:asciiTheme="minorEastAsia" w:hAnsiTheme="minorEastAsia" w:eastAsiaTheme="minorEastAsia" w:cstheme="minorEastAsia"/>
          <w:b/>
          <w:sz w:val="21"/>
          <w:szCs w:val="21"/>
          <w:highlight w:val="none"/>
        </w:rPr>
        <w:t>“投标保证金”</w:t>
      </w:r>
      <w:r>
        <w:rPr>
          <w:rFonts w:hint="eastAsia" w:asciiTheme="minorEastAsia" w:hAnsiTheme="minorEastAsia" w:eastAsiaTheme="minorEastAsia" w:cstheme="minorEastAsia"/>
          <w:sz w:val="21"/>
          <w:szCs w:val="21"/>
          <w:highlight w:val="none"/>
        </w:rPr>
        <w:t>材料可使用转账凭证复印件或从福建省政府采购网上公开信息系统中下载的有关原始页面的打印件。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2、投标保证金是否已提交的认定按照招标文件第三章规定执行。</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pStyle w:val="7"/>
        <w:keepNext w:val="0"/>
        <w:keepLines w:val="0"/>
        <w:widowControl/>
        <w:suppressLineNumbers w:val="0"/>
        <w:spacing w:before="0" w:beforeAutospacing="0" w:after="120" w:afterAutospacing="0"/>
        <w:ind w:left="0" w:right="0"/>
        <w:jc w:val="center"/>
        <w:rPr>
          <w:rStyle w:val="10"/>
          <w:rFonts w:hint="eastAsia" w:ascii="宋体" w:hAnsi="宋体" w:eastAsia="宋体" w:cs="宋体"/>
          <w:b/>
          <w:sz w:val="22"/>
          <w:szCs w:val="22"/>
          <w:highlight w:val="none"/>
        </w:rPr>
      </w:pPr>
    </w:p>
    <w:p>
      <w:pPr>
        <w:rPr>
          <w:rStyle w:val="10"/>
          <w:rFonts w:hint="eastAsia" w:ascii="宋体" w:hAnsi="宋体" w:eastAsia="宋体" w:cs="宋体"/>
          <w:b/>
          <w:sz w:val="22"/>
          <w:szCs w:val="22"/>
          <w:highlight w:val="none"/>
        </w:rPr>
      </w:pPr>
      <w:r>
        <w:rPr>
          <w:rStyle w:val="10"/>
          <w:rFonts w:hint="eastAsia" w:ascii="宋体" w:hAnsi="宋体" w:eastAsia="宋体" w:cs="宋体"/>
          <w:b/>
          <w:sz w:val="22"/>
          <w:szCs w:val="22"/>
          <w:highlight w:val="none"/>
        </w:rPr>
        <w:br w:type="page"/>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2"/>
          <w:szCs w:val="22"/>
          <w:highlight w:val="none"/>
        </w:rPr>
        <w:t>封面格式</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38"/>
          <w:szCs w:val="38"/>
          <w:highlight w:val="none"/>
        </w:rPr>
        <w:t>福建省政府采购投标文件</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38"/>
          <w:szCs w:val="38"/>
          <w:highlight w:val="none"/>
        </w:rPr>
        <w:t>（报价部分）</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8"/>
          <w:szCs w:val="28"/>
          <w:highlight w:val="none"/>
          <w:u w:val="single"/>
        </w:rPr>
        <w:t>（填写正本或副本）</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项目名称：</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备案编号：</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招标编号：</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所投合同包：</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5"/>
          <w:szCs w:val="25"/>
          <w:highlight w:val="none"/>
        </w:rPr>
        <w:t>投标人：</w:t>
      </w:r>
      <w:r>
        <w:rPr>
          <w:rStyle w:val="10"/>
          <w:rFonts w:hint="eastAsia" w:ascii="宋体" w:hAnsi="宋体" w:eastAsia="宋体" w:cs="宋体"/>
          <w:b/>
          <w:sz w:val="25"/>
          <w:szCs w:val="25"/>
          <w:highlight w:val="none"/>
          <w:u w:val="single"/>
        </w:rPr>
        <w:t>（填写“全称”）</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5"/>
          <w:szCs w:val="25"/>
          <w:highlight w:val="none"/>
          <w:u w:val="single"/>
        </w:rPr>
        <w:t>（由投标人填写）</w:t>
      </w:r>
      <w:r>
        <w:rPr>
          <w:rStyle w:val="10"/>
          <w:rFonts w:hint="eastAsia" w:ascii="宋体" w:hAnsi="宋体" w:eastAsia="宋体" w:cs="宋体"/>
          <w:b/>
          <w:sz w:val="25"/>
          <w:szCs w:val="25"/>
          <w:highlight w:val="none"/>
        </w:rPr>
        <w:t>年</w:t>
      </w:r>
      <w:r>
        <w:rPr>
          <w:rStyle w:val="10"/>
          <w:rFonts w:hint="eastAsia" w:ascii="宋体" w:hAnsi="宋体" w:eastAsia="宋体" w:cs="宋体"/>
          <w:b/>
          <w:sz w:val="25"/>
          <w:szCs w:val="25"/>
          <w:highlight w:val="none"/>
          <w:u w:val="single"/>
        </w:rPr>
        <w:t>（由投标人填写）</w:t>
      </w:r>
      <w:r>
        <w:rPr>
          <w:rStyle w:val="10"/>
          <w:rFonts w:hint="eastAsia" w:ascii="宋体" w:hAnsi="宋体" w:eastAsia="宋体" w:cs="宋体"/>
          <w:b/>
          <w:sz w:val="25"/>
          <w:szCs w:val="25"/>
          <w:highlight w:val="none"/>
        </w:rPr>
        <w:t>月</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索引</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一、开标一览表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二、投标分项报价表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三、招标文件规定的价格扣除证明材料（若有）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四、招标文件规定的加分证明材料（若有）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一、开标一览表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货币及单位：人民币元</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22"/>
        <w:gridCol w:w="5722"/>
        <w:gridCol w:w="695"/>
        <w:gridCol w:w="965"/>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1104"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4080"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投标报价</w:t>
            </w:r>
          </w:p>
        </w:tc>
        <w:tc>
          <w:tcPr>
            <w:tcW w:w="68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保证金</w:t>
            </w:r>
          </w:p>
        </w:tc>
        <w:tc>
          <w:tcPr>
            <w:tcW w:w="948"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rPr>
          <w:trHeight w:val="1440" w:hRule="atLeast"/>
        </w:trPr>
        <w:tc>
          <w:tcPr>
            <w:tcW w:w="1104"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4080"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投标总价（大写金额）：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48" w:type="dxa"/>
            <w:vMerge w:val="restart"/>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a.投标报价的明细：详见《投标分项报价表》。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b.招标文件规定的价格扣除证明材料（若有）：详见报价部分。</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1104"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4080"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投标总价（大写金额）：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48" w:type="dxa"/>
            <w:vMerge w:val="continue"/>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1、本表应按照下列规定填写：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1.1投标人应按照本表格式填写所投的合同包的“投标报价”。</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1.2本表中列示的“合同包”应与《投标分项报价表》中列示的“合同包”保持一致，即：若本表中列示的“合同包”为“1”时，《投标分项报价表》中列示的“合同包”亦应为“1”，以此类推。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1.3“大写金额”指“投标报价”应用“壹、贰、叁、肆、伍、陆、柒、捌、玖、拾、佰、仟、万、亿、元、角、分、零”等进行填写。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2、纸质投标文件正本中的本表应为原件。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二、投标分项报价表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货币及单位：人民币元</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68"/>
        <w:gridCol w:w="951"/>
        <w:gridCol w:w="1545"/>
        <w:gridCol w:w="1263"/>
        <w:gridCol w:w="847"/>
        <w:gridCol w:w="980"/>
        <w:gridCol w:w="564"/>
        <w:gridCol w:w="1084"/>
        <w:gridCol w:w="802"/>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336"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768"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1248"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投标标的</w:t>
            </w:r>
          </w:p>
        </w:tc>
        <w:tc>
          <w:tcPr>
            <w:tcW w:w="1020"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规格</w:t>
            </w:r>
          </w:p>
        </w:tc>
        <w:tc>
          <w:tcPr>
            <w:tcW w:w="68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来源地</w:t>
            </w:r>
          </w:p>
        </w:tc>
        <w:tc>
          <w:tcPr>
            <w:tcW w:w="79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45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数量</w:t>
            </w:r>
          </w:p>
        </w:tc>
        <w:tc>
          <w:tcPr>
            <w:tcW w:w="87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总价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648"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336"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76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12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020"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45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8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36"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76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2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020"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45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8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336"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76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2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020"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45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8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1、本表应按照下列规定填写：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1”时，本表中列示的“合同包”亦应为“1”，以此类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1.2“投标标的”为货物的：</w:t>
      </w:r>
      <w:r>
        <w:rPr>
          <w:rStyle w:val="10"/>
          <w:rFonts w:hint="eastAsia" w:asciiTheme="minorEastAsia" w:hAnsiTheme="minorEastAsia" w:eastAsiaTheme="minorEastAsia" w:cstheme="minorEastAsia"/>
          <w:b/>
          <w:sz w:val="21"/>
          <w:szCs w:val="21"/>
          <w:highlight w:val="none"/>
        </w:rPr>
        <w:t>“规格”</w:t>
      </w:r>
      <w:r>
        <w:rPr>
          <w:rFonts w:hint="eastAsia" w:asciiTheme="minorEastAsia" w:hAnsiTheme="minorEastAsia" w:eastAsiaTheme="minorEastAsia" w:cstheme="minorEastAsia"/>
          <w:sz w:val="21"/>
          <w:szCs w:val="21"/>
          <w:highlight w:val="none"/>
        </w:rPr>
        <w:t>项下应填写货物制造厂商赋予的品牌（属于节能、环保清单产品的货物，填写的品牌名称应与清单载明的品牌名称保持一致）及具体型号。</w:t>
      </w:r>
      <w:r>
        <w:rPr>
          <w:rStyle w:val="10"/>
          <w:rFonts w:hint="eastAsia" w:asciiTheme="minorEastAsia" w:hAnsiTheme="minorEastAsia" w:eastAsiaTheme="minorEastAsia" w:cstheme="minorEastAsia"/>
          <w:b/>
          <w:sz w:val="21"/>
          <w:szCs w:val="21"/>
          <w:highlight w:val="none"/>
        </w:rPr>
        <w:t>“来源地”</w:t>
      </w:r>
      <w:r>
        <w:rPr>
          <w:rFonts w:hint="eastAsia" w:asciiTheme="minorEastAsia" w:hAnsiTheme="minorEastAsia" w:eastAsiaTheme="minorEastAsia" w:cstheme="minorEastAsia"/>
          <w:sz w:val="21"/>
          <w:szCs w:val="21"/>
          <w:highlight w:val="none"/>
        </w:rPr>
        <w:t>应填写货物的原产地。</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1.3“投标标的”为服务的：</w:t>
      </w:r>
      <w:r>
        <w:rPr>
          <w:rStyle w:val="10"/>
          <w:rFonts w:hint="eastAsia" w:asciiTheme="minorEastAsia" w:hAnsiTheme="minorEastAsia" w:eastAsiaTheme="minorEastAsia" w:cstheme="minorEastAsia"/>
          <w:b/>
          <w:sz w:val="21"/>
          <w:szCs w:val="21"/>
          <w:highlight w:val="none"/>
        </w:rPr>
        <w:t>“规格”</w:t>
      </w:r>
      <w:r>
        <w:rPr>
          <w:rFonts w:hint="eastAsia" w:asciiTheme="minorEastAsia" w:hAnsiTheme="minorEastAsia" w:eastAsiaTheme="minorEastAsia" w:cstheme="minorEastAsia"/>
          <w:sz w:val="21"/>
          <w:szCs w:val="21"/>
          <w:highlight w:val="none"/>
        </w:rPr>
        <w:t>项下应填写服务提供者提供的服务标准及品牌（若有）。</w:t>
      </w:r>
      <w:r>
        <w:rPr>
          <w:rStyle w:val="10"/>
          <w:rFonts w:hint="eastAsia" w:asciiTheme="minorEastAsia" w:hAnsiTheme="minorEastAsia" w:eastAsiaTheme="minorEastAsia" w:cstheme="minorEastAsia"/>
          <w:b/>
          <w:sz w:val="21"/>
          <w:szCs w:val="21"/>
          <w:highlight w:val="none"/>
        </w:rPr>
        <w:t>“来源地”</w:t>
      </w:r>
      <w:r>
        <w:rPr>
          <w:rFonts w:hint="eastAsia" w:asciiTheme="minorEastAsia" w:hAnsiTheme="minorEastAsia" w:eastAsiaTheme="minorEastAsia" w:cstheme="minorEastAsia"/>
          <w:sz w:val="21"/>
          <w:szCs w:val="21"/>
          <w:highlight w:val="none"/>
        </w:rPr>
        <w:t>应填写服务提供者的所在地。</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1.4同一合同包中，</w:t>
      </w:r>
      <w:r>
        <w:rPr>
          <w:rStyle w:val="10"/>
          <w:rFonts w:hint="eastAsia" w:asciiTheme="minorEastAsia" w:hAnsiTheme="minorEastAsia" w:eastAsiaTheme="minorEastAsia" w:cstheme="minorEastAsia"/>
          <w:b/>
          <w:sz w:val="21"/>
          <w:szCs w:val="21"/>
          <w:highlight w:val="none"/>
        </w:rPr>
        <w:t>“单价（现场）”</w:t>
      </w:r>
      <w:r>
        <w:rPr>
          <w:rFonts w:hint="eastAsia" w:asciiTheme="minorEastAsia" w:hAnsiTheme="minorEastAsia" w:eastAsiaTheme="minorEastAsia" w:cstheme="minorEastAsia"/>
          <w:sz w:val="21"/>
          <w:szCs w:val="21"/>
          <w:highlight w:val="none"/>
        </w:rPr>
        <w:t>×</w:t>
      </w:r>
      <w:r>
        <w:rPr>
          <w:rStyle w:val="10"/>
          <w:rFonts w:hint="eastAsia" w:asciiTheme="minorEastAsia" w:hAnsiTheme="minorEastAsia" w:eastAsiaTheme="minorEastAsia" w:cstheme="minorEastAsia"/>
          <w:b/>
          <w:sz w:val="21"/>
          <w:szCs w:val="21"/>
          <w:highlight w:val="none"/>
        </w:rPr>
        <w:t>“数量”</w:t>
      </w:r>
      <w:r>
        <w:rPr>
          <w:rFonts w:hint="eastAsia" w:asciiTheme="minorEastAsia" w:hAnsiTheme="minorEastAsia" w:eastAsiaTheme="minorEastAsia" w:cstheme="minorEastAsia"/>
          <w:sz w:val="21"/>
          <w:szCs w:val="21"/>
          <w:highlight w:val="none"/>
        </w:rPr>
        <w:t>=</w:t>
      </w:r>
      <w:r>
        <w:rPr>
          <w:rStyle w:val="10"/>
          <w:rFonts w:hint="eastAsia" w:asciiTheme="minorEastAsia" w:hAnsiTheme="minorEastAsia" w:eastAsiaTheme="minorEastAsia" w:cstheme="minorEastAsia"/>
          <w:b/>
          <w:sz w:val="21"/>
          <w:szCs w:val="21"/>
          <w:highlight w:val="none"/>
        </w:rPr>
        <w:t>“总价（现场）”</w:t>
      </w:r>
      <w:r>
        <w:rPr>
          <w:rFonts w:hint="eastAsia" w:asciiTheme="minorEastAsia" w:hAnsiTheme="minorEastAsia" w:eastAsiaTheme="minorEastAsia" w:cstheme="minorEastAsia"/>
          <w:sz w:val="21"/>
          <w:szCs w:val="21"/>
          <w:highlight w:val="none"/>
        </w:rPr>
        <w:t>，全部品目号</w:t>
      </w:r>
      <w:r>
        <w:rPr>
          <w:rStyle w:val="10"/>
          <w:rFonts w:hint="eastAsia" w:asciiTheme="minorEastAsia" w:hAnsiTheme="minorEastAsia" w:eastAsiaTheme="minorEastAsia" w:cstheme="minorEastAsia"/>
          <w:b/>
          <w:sz w:val="21"/>
          <w:szCs w:val="21"/>
          <w:highlight w:val="none"/>
        </w:rPr>
        <w:t>“总价（现场）”</w:t>
      </w:r>
      <w:r>
        <w:rPr>
          <w:rFonts w:hint="eastAsia" w:asciiTheme="minorEastAsia" w:hAnsiTheme="minorEastAsia" w:eastAsiaTheme="minorEastAsia" w:cstheme="minorEastAsia"/>
          <w:sz w:val="21"/>
          <w:szCs w:val="21"/>
          <w:highlight w:val="none"/>
        </w:rPr>
        <w:t>的合计金额应与《开标一览表》中相应合同包列示的</w:t>
      </w:r>
      <w:r>
        <w:rPr>
          <w:rStyle w:val="10"/>
          <w:rFonts w:hint="eastAsia" w:asciiTheme="minorEastAsia" w:hAnsiTheme="minorEastAsia" w:eastAsiaTheme="minorEastAsia" w:cstheme="minorEastAsia"/>
          <w:b/>
          <w:sz w:val="21"/>
          <w:szCs w:val="21"/>
          <w:highlight w:val="none"/>
        </w:rPr>
        <w:t>“投标总价”</w:t>
      </w:r>
      <w:r>
        <w:rPr>
          <w:rFonts w:hint="eastAsia" w:asciiTheme="minorEastAsia" w:hAnsiTheme="minorEastAsia" w:eastAsiaTheme="minorEastAsia" w:cstheme="minorEastAsia"/>
          <w:sz w:val="21"/>
          <w:szCs w:val="21"/>
          <w:highlight w:val="none"/>
        </w:rPr>
        <w:t>保持一致。</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1.5若招标文件要求投标人对“备品备件价格、专用工具价格、技术服务费、安装调试费、检验培训费、运输费、保险费、税收”等进行报价的，请在本表的</w:t>
      </w:r>
      <w:r>
        <w:rPr>
          <w:rStyle w:val="10"/>
          <w:rFonts w:hint="eastAsia" w:asciiTheme="minorEastAsia" w:hAnsiTheme="minorEastAsia" w:eastAsiaTheme="minorEastAsia" w:cstheme="minorEastAsia"/>
          <w:b/>
          <w:sz w:val="21"/>
          <w:szCs w:val="21"/>
          <w:highlight w:val="none"/>
        </w:rPr>
        <w:t>“备注”</w:t>
      </w:r>
      <w:r>
        <w:rPr>
          <w:rFonts w:hint="eastAsia" w:asciiTheme="minorEastAsia" w:hAnsiTheme="minorEastAsia" w:eastAsiaTheme="minorEastAsia" w:cstheme="minorEastAsia"/>
          <w:sz w:val="21"/>
          <w:szCs w:val="21"/>
          <w:highlight w:val="none"/>
        </w:rPr>
        <w:t>项下填写。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2、纸质投标文件正本中的本表应为原件。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三、招标文件规定的价格扣除证明材料（若有）</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三-1优先类节能产品、环境标志产品价格扣除证明材料（若有）</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三-1-①优先类节能产品、环境标志产品统计表（价格扣除适用，若有）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货币及单位：人民币元</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12"/>
        <w:gridCol w:w="1212"/>
        <w:gridCol w:w="1213"/>
        <w:gridCol w:w="1213"/>
        <w:gridCol w:w="1213"/>
        <w:gridCol w:w="1213"/>
        <w:gridCol w:w="1228"/>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5844" w:type="dxa"/>
            <w:gridSpan w:val="6"/>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本合同包内属于节能、环境标志产品的情况</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货物名称</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数量</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总价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认证种类</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c>
          <w:tcPr>
            <w:tcW w:w="5844" w:type="dxa"/>
            <w:gridSpan w:val="6"/>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a.合同包内属于节能、环境标志产品的报价总金额：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b.合同包投标总价（报价总金额）：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c.“合同包内属于节能、环境标志产品的报价总金额”占“合同包投标总价（报价总金额）”的比例（以%列示）：</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1、对节能、环境标志产品计算价格扣除时，只依据投标文件</w:t>
      </w:r>
      <w:r>
        <w:rPr>
          <w:rStyle w:val="10"/>
          <w:rFonts w:hint="eastAsia" w:asciiTheme="minorEastAsia" w:hAnsiTheme="minorEastAsia" w:eastAsiaTheme="minorEastAsia" w:cstheme="minorEastAsia"/>
          <w:b/>
          <w:sz w:val="21"/>
          <w:szCs w:val="21"/>
          <w:highlight w:val="none"/>
        </w:rPr>
        <w:t>“三-1-②优先类节能产品、环境标志产品证明材料（价格扣除适用，若有）”。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2、本表以合同包为单位，不同合同包请分别填写；同一合同包请按照其品目号顺序分别填写。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3、具体统计、计算：</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3.2计算结果若除不尽，可四舍五入保留到小数点后两位。</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3.3投标人应按照招标文件要求认真统计、计算，否则评标委员会不予认定。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3.4若无节能、环境标志产品，不填写本表，否则，</w:t>
      </w:r>
      <w:r>
        <w:rPr>
          <w:rStyle w:val="10"/>
          <w:rFonts w:hint="eastAsia" w:asciiTheme="minorEastAsia" w:hAnsiTheme="minorEastAsia" w:eastAsiaTheme="minorEastAsia" w:cstheme="minorEastAsia"/>
          <w:b/>
          <w:sz w:val="21"/>
          <w:szCs w:val="21"/>
          <w:highlight w:val="none"/>
        </w:rPr>
        <w:t>视为提供虚假材料。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4、纸质投标文件正本中的本表（若有）应为原件。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三-1-②优先类节能产品、环境标志产品证明材料（价格扣除适用，若有）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除招标文件另有规定外，投标人应按照招标文件第二章（表1）第13项规定提供相应证明材料。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textWrapping"/>
      </w:r>
    </w:p>
    <w:p>
      <w:pP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三-2小型、微型企业产品等价格扣除证明材料（若有）</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三-2-①小型、微型企业产品等统计表（价格扣除适用，若有）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货币及单位：人民币元</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12"/>
        <w:gridCol w:w="1213"/>
        <w:gridCol w:w="1078"/>
        <w:gridCol w:w="988"/>
        <w:gridCol w:w="704"/>
        <w:gridCol w:w="988"/>
        <w:gridCol w:w="1138"/>
        <w:gridCol w:w="1183"/>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5844" w:type="dxa"/>
            <w:gridSpan w:val="7"/>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合同包内属于小型、微型企业产品等的情况</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86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采购标的</w:t>
            </w:r>
          </w:p>
        </w:tc>
        <w:tc>
          <w:tcPr>
            <w:tcW w:w="79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56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数量</w:t>
            </w:r>
          </w:p>
        </w:tc>
        <w:tc>
          <w:tcPr>
            <w:tcW w:w="79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总价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91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制造厂商</w:t>
            </w:r>
          </w:p>
        </w:tc>
        <w:tc>
          <w:tcPr>
            <w:tcW w:w="948"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企业类型</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86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56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86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56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79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48"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972"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c>
          <w:tcPr>
            <w:tcW w:w="5844" w:type="dxa"/>
            <w:gridSpan w:val="7"/>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合同包内属于小型、微型企业产品等的报价总金额：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1、对小型、微型企业产品等计算价格扣除时，只依据投标文件</w:t>
      </w:r>
      <w:r>
        <w:rPr>
          <w:rStyle w:val="10"/>
          <w:rFonts w:hint="eastAsia" w:asciiTheme="minorEastAsia" w:hAnsiTheme="minorEastAsia" w:eastAsiaTheme="minorEastAsia" w:cstheme="minorEastAsia"/>
          <w:b/>
          <w:sz w:val="21"/>
          <w:szCs w:val="21"/>
          <w:highlight w:val="none"/>
        </w:rPr>
        <w:t>“三-2-②中小企业声明函（价格扣除适用，若有）”及“三-2-③小型、微型企业等证明材料（价格扣除适用，若有）”。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2、本表以合同包为单位，不同合同包请分别填写；同一合同包请按照其品目号顺序分别填写。</w:t>
      </w:r>
    </w:p>
    <w:p>
      <w:pPr>
        <w:pStyle w:val="7"/>
        <w:keepNext w:val="0"/>
        <w:keepLines w:val="0"/>
        <w:widowControl/>
        <w:suppressLineNumbers w:val="0"/>
        <w:shd w:val="clear" w:fill="FFFFFF"/>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393939"/>
          <w:sz w:val="21"/>
          <w:szCs w:val="21"/>
          <w:highlight w:val="none"/>
          <w:shd w:val="clear" w:fill="FFFFFF"/>
        </w:rPr>
        <w:t>3、符合财政部、民政部、中国残联文件（财库[2017]141号）规定的残疾人福利性单位提供本单位制造的货物、承担的工程或服务，或提供其他残疾人福利性单位制造的货物（不包括使用非残疾人福利性单位注册商标的货物）</w:t>
      </w:r>
      <w:r>
        <w:rPr>
          <w:rStyle w:val="10"/>
          <w:rFonts w:hint="eastAsia" w:asciiTheme="minorEastAsia" w:hAnsiTheme="minorEastAsia" w:eastAsiaTheme="minorEastAsia" w:cstheme="minorEastAsia"/>
          <w:b/>
          <w:color w:val="393939"/>
          <w:sz w:val="21"/>
          <w:szCs w:val="21"/>
          <w:highlight w:val="none"/>
          <w:shd w:val="clear" w:fill="FFFFFF"/>
        </w:rPr>
        <w:t>可享受价格扣除。</w:t>
      </w:r>
    </w:p>
    <w:p>
      <w:pPr>
        <w:pStyle w:val="7"/>
        <w:keepNext w:val="0"/>
        <w:keepLines w:val="0"/>
        <w:widowControl/>
        <w:suppressLineNumbers w:val="0"/>
        <w:shd w:val="clear" w:fill="FFFFFF"/>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393939"/>
          <w:sz w:val="21"/>
          <w:szCs w:val="21"/>
          <w:highlight w:val="none"/>
          <w:shd w:val="clear" w:fill="FFFFFF"/>
        </w:rPr>
        <w:t>4、纸质投标文件正本中的本表（若有）应为原件。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textWrapping"/>
      </w:r>
    </w:p>
    <w:p>
      <w:pP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三-2-②中小企业声明函（价格扣除适用，若有）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中小企业声明函（货物）</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  （标的名称） ，属于（采购文件中明确的所属行业）行业；制造商为（企业名称），从业人员  人，营业收入为  万元，资产总额为  万元</w:t>
      </w:r>
      <w:r>
        <w:rPr>
          <w:rFonts w:hint="eastAsia" w:asciiTheme="minorEastAsia" w:hAnsiTheme="minorEastAsia" w:eastAsiaTheme="minorEastAsia" w:cstheme="minorEastAsia"/>
          <w:spacing w:val="0"/>
          <w:sz w:val="21"/>
          <w:szCs w:val="21"/>
          <w:highlight w:val="none"/>
          <w:vertAlign w:val="superscript"/>
        </w:rPr>
        <w:t>1</w:t>
      </w:r>
      <w:r>
        <w:rPr>
          <w:rFonts w:hint="eastAsia" w:asciiTheme="minorEastAsia" w:hAnsiTheme="minorEastAsia" w:eastAsiaTheme="minorEastAsia" w:cstheme="minorEastAsia"/>
          <w:spacing w:val="0"/>
          <w:sz w:val="21"/>
          <w:szCs w:val="21"/>
          <w:highlight w:val="none"/>
        </w:rPr>
        <w:t>，属于（中型企业、小型企业、微型企业）；</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2.  （标的名称） ， 属 于 （采购文件中明确的所属行业 ）行业；制造商为（企业名称），从业人员  人，营业收入为  万元，资产总额为  万元，属于（中型企业、小型企业、微型企业）；</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以上企业，不属于大企业的分支机构，不存在控股股东为大企业的情形，也不存在与大企业的负责人为同一人的情形。</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本企业对上述声明内容的真实性负责。如有虚假，将依法承担相应责任。</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企业名称（盖章）：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日期：</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1从业人员、营业收入、资产总额填报上一年度数据，无上一年度数据的新成立企业可不填报。</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中小企业声明函（工程、服务）</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本公司（联合体）郑重声明，根据《政府采购促进中小企业发展管理办法》（财库﹝2020﹞46 号）的规定，本公司（联合体）参加</w:t>
      </w:r>
      <w:r>
        <w:rPr>
          <w:rFonts w:hint="eastAsia" w:asciiTheme="minorEastAsia" w:hAnsiTheme="minorEastAsia" w:eastAsiaTheme="minorEastAsia" w:cstheme="minorEastAsia"/>
          <w:spacing w:val="0"/>
          <w:sz w:val="21"/>
          <w:szCs w:val="21"/>
          <w:highlight w:val="none"/>
          <w:u w:val="single"/>
        </w:rPr>
        <w:t>（单位名称）</w:t>
      </w:r>
      <w:r>
        <w:rPr>
          <w:rFonts w:hint="eastAsia" w:asciiTheme="minorEastAsia" w:hAnsiTheme="minorEastAsia" w:eastAsiaTheme="minorEastAsia" w:cstheme="minorEastAsia"/>
          <w:spacing w:val="0"/>
          <w:sz w:val="21"/>
          <w:szCs w:val="21"/>
          <w:highlight w:val="none"/>
        </w:rPr>
        <w:t>的</w:t>
      </w:r>
      <w:r>
        <w:rPr>
          <w:rFonts w:hint="eastAsia" w:asciiTheme="minorEastAsia" w:hAnsiTheme="minorEastAsia" w:eastAsiaTheme="minorEastAsia" w:cstheme="minorEastAsia"/>
          <w:spacing w:val="0"/>
          <w:sz w:val="21"/>
          <w:szCs w:val="21"/>
          <w:highlight w:val="none"/>
          <w:u w:val="single"/>
        </w:rPr>
        <w:t>（项目名称）</w:t>
      </w:r>
      <w:r>
        <w:rPr>
          <w:rFonts w:hint="eastAsia" w:asciiTheme="minorEastAsia" w:hAnsiTheme="minorEastAsia" w:eastAsiaTheme="minorEastAsia" w:cstheme="minorEastAsia"/>
          <w:spacing w:val="0"/>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 （标的名称），属于（采购文件中明确的所属行业）；承建（承接）企业为（企业名称），从业人员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人，营业收入为  万元，资产总额为  万元</w:t>
      </w:r>
      <w:r>
        <w:rPr>
          <w:rFonts w:hint="eastAsia" w:asciiTheme="minorEastAsia" w:hAnsiTheme="minorEastAsia" w:eastAsiaTheme="minorEastAsia" w:cstheme="minorEastAsia"/>
          <w:spacing w:val="0"/>
          <w:sz w:val="21"/>
          <w:szCs w:val="21"/>
          <w:highlight w:val="none"/>
          <w:vertAlign w:val="superscript"/>
        </w:rPr>
        <w:t>1</w:t>
      </w:r>
      <w:r>
        <w:rPr>
          <w:rFonts w:hint="eastAsia" w:asciiTheme="minorEastAsia" w:hAnsiTheme="minorEastAsia" w:eastAsiaTheme="minorEastAsia" w:cstheme="minorEastAsia"/>
          <w:spacing w:val="0"/>
          <w:sz w:val="21"/>
          <w:szCs w:val="21"/>
          <w:highlight w:val="none"/>
        </w:rPr>
        <w:t>，属于（中型企业、小型企业、微型企业）；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2. （标的名称），属于（采购文件中明确的所属行业）；承建（承接）企业为（企业名称），从业人员  人，营业收入为  万元，资产总额为  万元，属于（中型企业、小型企业、微型企业）；</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以上企业，不属于大企业的分支机构，不存在控股股东为大企业的情形，也不存在与大企业的负责人为同一人的情形。</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本企业对上述声明内容的真实性负责。如有虚假，将依法承担相应责任。</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企业名称（盖章）：           </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日期：</w:t>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br w:type="textWrapping"/>
      </w:r>
      <w:r>
        <w:rPr>
          <w:rFonts w:hint="eastAsia" w:asciiTheme="minorEastAsia" w:hAnsiTheme="minorEastAsia" w:eastAsiaTheme="minorEastAsia" w:cstheme="minorEastAsia"/>
          <w:spacing w:val="0"/>
          <w:sz w:val="21"/>
          <w:szCs w:val="21"/>
          <w:highlight w:val="none"/>
        </w:rPr>
        <w:t>     1从业人员、营业收入、资产总额填报上一年度数据，无上一年度数据的新成立企业可不填报。</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三-2-③小型、微型企业等证明材料（价格扣除适用，若有）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1、投标人应按照招标文件要求提供相应证明材料，证明材料应与《中小企业声明函》的内容相一致，否则视为《中小企业声明函》内容不真实。</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2、投标人为监狱企业的，根据其提供的由省级以上监狱管理局、戒毒管理局（含新疆生产建设兵团）出具的属于监狱企业的证明文件进行认定，监狱企业视同小型、微型企业。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附：</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残疾人福利性单位声明函（价格扣除适用，若有）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Theme="minorEastAsia" w:hAnsiTheme="minorEastAsia" w:eastAsiaTheme="minorEastAsia" w:cstheme="minorEastAsia"/>
          <w:sz w:val="21"/>
          <w:szCs w:val="21"/>
          <w:highlight w:val="none"/>
          <w:u w:val="single"/>
        </w:rPr>
        <w:t>（填写“项目名称”）</w:t>
      </w:r>
      <w:r>
        <w:rPr>
          <w:rFonts w:hint="eastAsia" w:asciiTheme="minorEastAsia" w:hAnsiTheme="minorEastAsia" w:eastAsiaTheme="minorEastAsia" w:cstheme="minorEastAsia"/>
          <w:sz w:val="21"/>
          <w:szCs w:val="21"/>
          <w:highlight w:val="none"/>
        </w:rPr>
        <w:t>项目采购活动：</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）提供本投标人制造的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货物，或提供其他残疾人福利性单位制造的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货物（不包括使用非残疾人福利性单位注册商标的货物）。（说明：只有部分货物由残疾人福利企业制造的，在该货物后标</w:t>
      </w:r>
      <w:r>
        <w:rPr>
          <w:rFonts w:hint="eastAsia" w:asciiTheme="minorEastAsia" w:hAnsiTheme="minorEastAsia" w:eastAsiaTheme="minorEastAsia" w:cstheme="minorEastAsia"/>
          <w:color w:val="333333"/>
          <w:sz w:val="21"/>
          <w:szCs w:val="21"/>
          <w:highlight w:val="none"/>
          <w:shd w:val="clear" w:fill="FFFFFF"/>
        </w:rPr>
        <w:t>★</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）由本投标人承建的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工程</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）由本投标人承接的</w:t>
      </w:r>
      <w:r>
        <w:rPr>
          <w:rFonts w:hint="eastAsia" w:asciiTheme="minorEastAsia" w:hAnsiTheme="minorEastAsia" w:eastAsiaTheme="minorEastAsia" w:cstheme="minorEastAsia"/>
          <w:sz w:val="21"/>
          <w:szCs w:val="21"/>
          <w:highlight w:val="none"/>
          <w:u w:val="single"/>
        </w:rPr>
        <w:t>（填写“所投合同包、品目号”）</w:t>
      </w:r>
      <w:r>
        <w:rPr>
          <w:rFonts w:hint="eastAsia" w:asciiTheme="minorEastAsia" w:hAnsiTheme="minorEastAsia" w:eastAsiaTheme="minorEastAsia" w:cstheme="minorEastAsia"/>
          <w:sz w:val="21"/>
          <w:szCs w:val="21"/>
          <w:highlight w:val="none"/>
        </w:rPr>
        <w:t>服务；</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本投标人对上述声明的真实性负责。如有虚假，将依法承担相应责任。</w:t>
      </w:r>
    </w:p>
    <w:p>
      <w:pPr>
        <w:pStyle w:val="7"/>
        <w:keepNext w:val="0"/>
        <w:keepLines w:val="0"/>
        <w:widowControl/>
        <w:suppressLineNumbers w:val="0"/>
        <w:spacing w:before="60" w:beforeAutospacing="0" w:after="6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1、请投标人按照实际情况编制填写本声明函，并在相应的（）中打“√”。</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2、纸质投标文件正本中的本声明函（若有）应为原件。</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3、若《残疾人福利性单位声明函》内容不真实，</w:t>
      </w:r>
      <w:r>
        <w:rPr>
          <w:rStyle w:val="10"/>
          <w:rFonts w:hint="eastAsia" w:asciiTheme="minorEastAsia" w:hAnsiTheme="minorEastAsia" w:eastAsiaTheme="minorEastAsia" w:cstheme="minorEastAsia"/>
          <w:b/>
          <w:sz w:val="21"/>
          <w:szCs w:val="21"/>
          <w:highlight w:val="none"/>
        </w:rPr>
        <w:t>视为提供虚假材料。</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60" w:beforeAutospacing="0" w:after="6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三-3招标文件规定的其他价格扣除证明材料（若有）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若投标人可享受招标文件规定的除</w:t>
      </w:r>
      <w:r>
        <w:rPr>
          <w:rStyle w:val="10"/>
          <w:rFonts w:hint="eastAsia" w:asciiTheme="minorEastAsia" w:hAnsiTheme="minorEastAsia" w:eastAsiaTheme="minorEastAsia" w:cstheme="minorEastAsia"/>
          <w:b/>
          <w:sz w:val="21"/>
          <w:szCs w:val="21"/>
          <w:highlight w:val="none"/>
        </w:rPr>
        <w:t>“节能（非强制类）、环境标志产品价格扣除”及“小型、微型企业产品等价格扣除”</w:t>
      </w:r>
      <w:r>
        <w:rPr>
          <w:rFonts w:hint="eastAsia" w:asciiTheme="minorEastAsia" w:hAnsiTheme="minorEastAsia" w:eastAsiaTheme="minorEastAsia" w:cstheme="minorEastAsia"/>
          <w:sz w:val="21"/>
          <w:szCs w:val="21"/>
          <w:highlight w:val="none"/>
        </w:rPr>
        <w:t>外的其他价格扣除优惠，则投标人应按照招标文件要求提供相应证明材料。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四、招标文件规定的加分证明材料（若有）</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四-1优先类节能产品、环境标志产品加分证明材料（若有）</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四-1-①优先类节能产品、环境标志产品统计表（加分适用，若有）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jc w:val="righ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货币及单位：人民币元</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12"/>
        <w:gridCol w:w="1212"/>
        <w:gridCol w:w="1213"/>
        <w:gridCol w:w="1213"/>
        <w:gridCol w:w="1213"/>
        <w:gridCol w:w="1213"/>
        <w:gridCol w:w="1228"/>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5844" w:type="dxa"/>
            <w:gridSpan w:val="6"/>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本合同包内属于节能、环境标志产品的情况</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972"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货物名称</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单价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数量</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总价</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（现场）</w:t>
            </w:r>
          </w:p>
        </w:tc>
        <w:tc>
          <w:tcPr>
            <w:tcW w:w="97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认证种类</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972"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972"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7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972"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c>
          <w:tcPr>
            <w:tcW w:w="5844" w:type="dxa"/>
            <w:gridSpan w:val="6"/>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a.合同包内属于节能、环境标志产品的报价总金额：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b.合同包投标总价（报价总金额）：</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c.“合同包内属于节能、环境标志产品的报价总金额”占“合同包投标总价（报价总金额）”的比例（以%列示）：</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w:t>
            </w: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1、对节能、环境标志产品计算加分时，只依据投标文件</w:t>
      </w:r>
      <w:r>
        <w:rPr>
          <w:rStyle w:val="10"/>
          <w:rFonts w:hint="eastAsia" w:asciiTheme="minorEastAsia" w:hAnsiTheme="minorEastAsia" w:eastAsiaTheme="minorEastAsia" w:cstheme="minorEastAsia"/>
          <w:b/>
          <w:sz w:val="21"/>
          <w:szCs w:val="21"/>
          <w:highlight w:val="none"/>
        </w:rPr>
        <w:t>“四-1-②优先类节能产品、环境标志产品加分证明材料（加分适用，若有）”。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2、本表以合同包为单位，不同合同包请分别填写；同一合同包请按照其品目号顺序分别填写。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3、具体统计、计算：</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3.1 若节能、环境标志产品仅是构成投标产品的部件、组件或零件，则该投标产品不享受鼓励优惠政策。同一品目中各认证证书不重复计算加分。强制类节能产品不享受加分。</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3.2计算结果若除不尽，可四舍五入保留到小数点后两位。</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3.3投标人应按照招标文件要求认真统计、计算，否则评标委员会不予认定。</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3.4若无节能、环境标志产品，不填写本表，否则，</w:t>
      </w:r>
      <w:r>
        <w:rPr>
          <w:rStyle w:val="10"/>
          <w:rFonts w:hint="eastAsia" w:asciiTheme="minorEastAsia" w:hAnsiTheme="minorEastAsia" w:eastAsiaTheme="minorEastAsia" w:cstheme="minorEastAsia"/>
          <w:b/>
          <w:sz w:val="21"/>
          <w:szCs w:val="21"/>
          <w:highlight w:val="none"/>
        </w:rPr>
        <w:t>视为提供虚假材料</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4、纸质投标文件正本中的本表（若有）应为原件。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四-1-②优先类节能产品、环境标志产品证明材料（加分适用，若有）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除招标文件另有规定外，投标人应按照招标文件第二章（表1）第13项规定提供相应证明材料。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w:t>
      </w:r>
      <w:r>
        <w:rPr>
          <w:rStyle w:val="10"/>
          <w:rFonts w:hint="eastAsia" w:asciiTheme="minorEastAsia" w:hAnsiTheme="minorEastAsia" w:eastAsiaTheme="minorEastAsia" w:cstheme="minorEastAsia"/>
          <w:b/>
          <w:sz w:val="21"/>
          <w:szCs w:val="21"/>
          <w:highlight w:val="none"/>
        </w:rPr>
        <w:t>-2招标文件规定的其他加分证明材料（若有）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若投标人可享受招标文件规定的除</w:t>
      </w:r>
      <w:r>
        <w:rPr>
          <w:rStyle w:val="10"/>
          <w:rFonts w:hint="eastAsia" w:asciiTheme="minorEastAsia" w:hAnsiTheme="minorEastAsia" w:eastAsiaTheme="minorEastAsia" w:cstheme="minorEastAsia"/>
          <w:b/>
          <w:sz w:val="21"/>
          <w:szCs w:val="21"/>
          <w:highlight w:val="none"/>
        </w:rPr>
        <w:t>“优先类节能产品、环境标志产品加分”</w:t>
      </w:r>
      <w:r>
        <w:rPr>
          <w:rFonts w:hint="eastAsia" w:asciiTheme="minorEastAsia" w:hAnsiTheme="minorEastAsia" w:eastAsiaTheme="minorEastAsia" w:cstheme="minorEastAsia"/>
          <w:sz w:val="21"/>
          <w:szCs w:val="21"/>
          <w:highlight w:val="none"/>
        </w:rPr>
        <w:t>外的其他加分优惠，则投标人应按照招标文件要求提供相应证明材料。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highlight w:val="none"/>
        </w:rPr>
      </w:pP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rPr>
          <w:rStyle w:val="10"/>
          <w:rFonts w:hint="eastAsia" w:ascii="宋体" w:hAnsi="宋体" w:eastAsia="宋体" w:cs="宋体"/>
          <w:b/>
          <w:sz w:val="22"/>
          <w:szCs w:val="22"/>
          <w:highlight w:val="none"/>
        </w:rPr>
      </w:pPr>
      <w:r>
        <w:rPr>
          <w:rStyle w:val="10"/>
          <w:rFonts w:hint="eastAsia" w:ascii="宋体" w:hAnsi="宋体" w:eastAsia="宋体" w:cs="宋体"/>
          <w:b/>
          <w:sz w:val="22"/>
          <w:szCs w:val="22"/>
          <w:highlight w:val="none"/>
        </w:rPr>
        <w:br w:type="page"/>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2"/>
          <w:szCs w:val="22"/>
          <w:highlight w:val="none"/>
        </w:rPr>
        <w:t>封面格式</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38"/>
          <w:szCs w:val="38"/>
          <w:highlight w:val="none"/>
        </w:rPr>
        <w:t>福建省政府采购投标文件</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38"/>
          <w:szCs w:val="38"/>
          <w:highlight w:val="none"/>
        </w:rPr>
        <w:t>（技术商务部分）</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8"/>
          <w:szCs w:val="28"/>
          <w:highlight w:val="none"/>
          <w:u w:val="single"/>
        </w:rPr>
        <w:t>（填写正本或副本）</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项目名称：</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备案编号：</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招标编号：</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firstLine="1536"/>
        <w:rPr>
          <w:highlight w:val="none"/>
        </w:rPr>
      </w:pPr>
      <w:r>
        <w:rPr>
          <w:rStyle w:val="10"/>
          <w:rFonts w:hint="eastAsia" w:ascii="宋体" w:hAnsi="宋体" w:eastAsia="宋体" w:cs="宋体"/>
          <w:b/>
          <w:sz w:val="25"/>
          <w:szCs w:val="25"/>
          <w:highlight w:val="none"/>
        </w:rPr>
        <w:t>所投合同包：</w:t>
      </w:r>
      <w:r>
        <w:rPr>
          <w:rStyle w:val="10"/>
          <w:rFonts w:hint="eastAsia" w:ascii="宋体" w:hAnsi="宋体" w:eastAsia="宋体" w:cs="宋体"/>
          <w:b/>
          <w:sz w:val="25"/>
          <w:szCs w:val="25"/>
          <w:highlight w:val="none"/>
          <w:u w:val="single"/>
        </w:rPr>
        <w:t>（由投标人填写）</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28"/>
          <w:szCs w:val="28"/>
          <w:highlight w:val="none"/>
        </w:rPr>
        <w:t> </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5"/>
          <w:szCs w:val="25"/>
          <w:highlight w:val="none"/>
        </w:rPr>
        <w:t>投标人：</w:t>
      </w:r>
      <w:r>
        <w:rPr>
          <w:rStyle w:val="10"/>
          <w:rFonts w:hint="eastAsia" w:ascii="宋体" w:hAnsi="宋体" w:eastAsia="宋体" w:cs="宋体"/>
          <w:b/>
          <w:sz w:val="25"/>
          <w:szCs w:val="25"/>
          <w:highlight w:val="none"/>
          <w:u w:val="single"/>
        </w:rPr>
        <w:t>（填写“全称”）</w:t>
      </w:r>
    </w:p>
    <w:p>
      <w:pPr>
        <w:pStyle w:val="7"/>
        <w:keepNext w:val="0"/>
        <w:keepLines w:val="0"/>
        <w:widowControl/>
        <w:suppressLineNumbers w:val="0"/>
        <w:spacing w:before="0" w:beforeAutospacing="0" w:after="120" w:afterAutospacing="0"/>
        <w:ind w:left="0" w:right="0"/>
        <w:jc w:val="center"/>
        <w:rPr>
          <w:highlight w:val="none"/>
        </w:rPr>
      </w:pPr>
      <w:r>
        <w:rPr>
          <w:rStyle w:val="10"/>
          <w:rFonts w:hint="eastAsia" w:ascii="宋体" w:hAnsi="宋体" w:eastAsia="宋体" w:cs="宋体"/>
          <w:b/>
          <w:sz w:val="25"/>
          <w:szCs w:val="25"/>
          <w:highlight w:val="none"/>
          <w:u w:val="single"/>
        </w:rPr>
        <w:t>（由投标人填写）</w:t>
      </w:r>
      <w:r>
        <w:rPr>
          <w:rStyle w:val="10"/>
          <w:rFonts w:hint="eastAsia" w:ascii="宋体" w:hAnsi="宋体" w:eastAsia="宋体" w:cs="宋体"/>
          <w:b/>
          <w:sz w:val="25"/>
          <w:szCs w:val="25"/>
          <w:highlight w:val="none"/>
        </w:rPr>
        <w:t>年</w:t>
      </w:r>
      <w:r>
        <w:rPr>
          <w:rStyle w:val="10"/>
          <w:rFonts w:hint="eastAsia" w:ascii="宋体" w:hAnsi="宋体" w:eastAsia="宋体" w:cs="宋体"/>
          <w:b/>
          <w:sz w:val="25"/>
          <w:szCs w:val="25"/>
          <w:highlight w:val="none"/>
          <w:u w:val="single"/>
        </w:rPr>
        <w:t>（由投标人填写）</w:t>
      </w:r>
      <w:r>
        <w:rPr>
          <w:rStyle w:val="10"/>
          <w:rFonts w:hint="eastAsia" w:ascii="宋体" w:hAnsi="宋体" w:eastAsia="宋体" w:cs="宋体"/>
          <w:b/>
          <w:sz w:val="25"/>
          <w:szCs w:val="25"/>
          <w:highlight w:val="none"/>
        </w:rPr>
        <w:t>月</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rPr>
          <w:highlight w:val="none"/>
        </w:rPr>
      </w:pPr>
      <w:r>
        <w:rPr>
          <w:rFonts w:hint="eastAsia" w:ascii="宋体" w:hAnsi="宋体" w:eastAsia="宋体" w:cs="宋体"/>
          <w:sz w:val="16"/>
          <w:szCs w:val="16"/>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default" w:ascii="Calibri" w:hAnsi="Calibri" w:cs="Calibri"/>
          <w:sz w:val="16"/>
          <w:szCs w:val="16"/>
          <w:highlight w:val="none"/>
        </w:rPr>
        <w:br w:type="textWrapping"/>
      </w:r>
      <w:r>
        <w:rPr>
          <w:rStyle w:val="10"/>
          <w:rFonts w:hint="eastAsia" w:asciiTheme="minorEastAsia" w:hAnsiTheme="minorEastAsia" w:eastAsiaTheme="minorEastAsia" w:cstheme="minorEastAsia"/>
          <w:b/>
          <w:sz w:val="21"/>
          <w:szCs w:val="21"/>
          <w:highlight w:val="none"/>
        </w:rPr>
        <w:t>索引</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一、标的说明一览表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二、技术和服务要求响应表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三、商务条件响应表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四、投标人提交的其他资料（若有）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技术商务部分中不得出现报价部分的全部或部分的投标报价信息（或组成资料），否则</w:t>
      </w:r>
      <w:r>
        <w:rPr>
          <w:rStyle w:val="10"/>
          <w:rFonts w:hint="eastAsia" w:asciiTheme="minorEastAsia" w:hAnsiTheme="minorEastAsia" w:eastAsiaTheme="minorEastAsia" w:cstheme="minorEastAsia"/>
          <w:b/>
          <w:sz w:val="21"/>
          <w:szCs w:val="21"/>
          <w:highlight w:val="none"/>
        </w:rPr>
        <w:t>符合性审查不合格</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firstLine="336"/>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一、标的说明一览表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56"/>
        <w:gridCol w:w="852"/>
        <w:gridCol w:w="1689"/>
        <w:gridCol w:w="852"/>
        <w:gridCol w:w="1136"/>
        <w:gridCol w:w="1136"/>
        <w:gridCol w:w="1883"/>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68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135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投标标的</w:t>
            </w:r>
          </w:p>
        </w:tc>
        <w:tc>
          <w:tcPr>
            <w:tcW w:w="68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数量</w:t>
            </w:r>
          </w:p>
        </w:tc>
        <w:tc>
          <w:tcPr>
            <w:tcW w:w="91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规格</w:t>
            </w:r>
          </w:p>
        </w:tc>
        <w:tc>
          <w:tcPr>
            <w:tcW w:w="91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来源地</w:t>
            </w:r>
          </w:p>
        </w:tc>
        <w:tc>
          <w:tcPr>
            <w:tcW w:w="151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备注</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135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135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35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9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1、本表应按照下列规定填写：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1.1“合同包”、“品目号”、“投标标的”及“数量”应与招标文件《采购标的一览表》中的有关内容（“合同包”、“品目号”、“采购标的”及“数量”）保持一致。</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1.2“投标标的”为货物的：</w:t>
      </w:r>
      <w:r>
        <w:rPr>
          <w:rStyle w:val="10"/>
          <w:rFonts w:hint="eastAsia" w:asciiTheme="minorEastAsia" w:hAnsiTheme="minorEastAsia" w:eastAsiaTheme="minorEastAsia" w:cstheme="minorEastAsia"/>
          <w:b/>
          <w:sz w:val="21"/>
          <w:szCs w:val="21"/>
          <w:highlight w:val="none"/>
        </w:rPr>
        <w:t>“规格”</w:t>
      </w:r>
      <w:r>
        <w:rPr>
          <w:rFonts w:hint="eastAsia" w:asciiTheme="minorEastAsia" w:hAnsiTheme="minorEastAsia" w:eastAsiaTheme="minorEastAsia" w:cstheme="minorEastAsia"/>
          <w:sz w:val="21"/>
          <w:szCs w:val="21"/>
          <w:highlight w:val="none"/>
        </w:rPr>
        <w:t>项下应填写货物制造厂商赋予的品牌（属于节能、环保清单产品的货物，填写的品牌名称应与清单载明的品牌名称保持一致）及具体型号。</w:t>
      </w:r>
      <w:r>
        <w:rPr>
          <w:rStyle w:val="10"/>
          <w:rFonts w:hint="eastAsia" w:asciiTheme="minorEastAsia" w:hAnsiTheme="minorEastAsia" w:eastAsiaTheme="minorEastAsia" w:cstheme="minorEastAsia"/>
          <w:b/>
          <w:sz w:val="21"/>
          <w:szCs w:val="21"/>
          <w:highlight w:val="none"/>
        </w:rPr>
        <w:t>“来源地”</w:t>
      </w:r>
      <w:r>
        <w:rPr>
          <w:rFonts w:hint="eastAsia" w:asciiTheme="minorEastAsia" w:hAnsiTheme="minorEastAsia" w:eastAsiaTheme="minorEastAsia" w:cstheme="minorEastAsia"/>
          <w:sz w:val="21"/>
          <w:szCs w:val="21"/>
          <w:highlight w:val="none"/>
        </w:rPr>
        <w:t>应填写货物的原产地。</w:t>
      </w:r>
      <w:r>
        <w:rPr>
          <w:rStyle w:val="10"/>
          <w:rFonts w:hint="eastAsia" w:asciiTheme="minorEastAsia" w:hAnsiTheme="minorEastAsia" w:eastAsiaTheme="minorEastAsia" w:cstheme="minorEastAsia"/>
          <w:b/>
          <w:sz w:val="21"/>
          <w:szCs w:val="21"/>
          <w:highlight w:val="none"/>
        </w:rPr>
        <w:t>“备注”</w:t>
      </w:r>
      <w:r>
        <w:rPr>
          <w:rFonts w:hint="eastAsia" w:asciiTheme="minorEastAsia" w:hAnsiTheme="minorEastAsia" w:eastAsiaTheme="minorEastAsia" w:cstheme="minorEastAsia"/>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1.3“投标标的”为服务的：</w:t>
      </w:r>
      <w:r>
        <w:rPr>
          <w:rStyle w:val="10"/>
          <w:rFonts w:hint="eastAsia" w:asciiTheme="minorEastAsia" w:hAnsiTheme="minorEastAsia" w:eastAsiaTheme="minorEastAsia" w:cstheme="minorEastAsia"/>
          <w:b/>
          <w:sz w:val="21"/>
          <w:szCs w:val="21"/>
          <w:highlight w:val="none"/>
        </w:rPr>
        <w:t>“规格”</w:t>
      </w:r>
      <w:r>
        <w:rPr>
          <w:rFonts w:hint="eastAsia" w:asciiTheme="minorEastAsia" w:hAnsiTheme="minorEastAsia" w:eastAsiaTheme="minorEastAsia" w:cstheme="minorEastAsia"/>
          <w:sz w:val="21"/>
          <w:szCs w:val="21"/>
          <w:highlight w:val="none"/>
        </w:rPr>
        <w:t>项下应填写服务提供者提供的服务标准及品牌（若有）。</w:t>
      </w:r>
      <w:r>
        <w:rPr>
          <w:rStyle w:val="10"/>
          <w:rFonts w:hint="eastAsia" w:asciiTheme="minorEastAsia" w:hAnsiTheme="minorEastAsia" w:eastAsiaTheme="minorEastAsia" w:cstheme="minorEastAsia"/>
          <w:b/>
          <w:sz w:val="21"/>
          <w:szCs w:val="21"/>
          <w:highlight w:val="none"/>
        </w:rPr>
        <w:t>“来源地”</w:t>
      </w:r>
      <w:r>
        <w:rPr>
          <w:rFonts w:hint="eastAsia" w:asciiTheme="minorEastAsia" w:hAnsiTheme="minorEastAsia" w:eastAsiaTheme="minorEastAsia" w:cstheme="minorEastAsia"/>
          <w:sz w:val="21"/>
          <w:szCs w:val="21"/>
          <w:highlight w:val="none"/>
        </w:rPr>
        <w:t>应填写服务提供者的所在地。</w:t>
      </w:r>
      <w:r>
        <w:rPr>
          <w:rStyle w:val="10"/>
          <w:rFonts w:hint="eastAsia" w:asciiTheme="minorEastAsia" w:hAnsiTheme="minorEastAsia" w:eastAsiaTheme="minorEastAsia" w:cstheme="minorEastAsia"/>
          <w:b/>
          <w:sz w:val="21"/>
          <w:szCs w:val="21"/>
          <w:highlight w:val="none"/>
        </w:rPr>
        <w:t>“备注”</w:t>
      </w:r>
      <w:r>
        <w:rPr>
          <w:rFonts w:hint="eastAsia" w:asciiTheme="minorEastAsia" w:hAnsiTheme="minorEastAsia" w:eastAsiaTheme="minorEastAsia" w:cstheme="minorEastAsia"/>
          <w:sz w:val="21"/>
          <w:szCs w:val="21"/>
          <w:highlight w:val="none"/>
        </w:rPr>
        <w:t>项下应填写关于服务标准所涵盖的具体项目或内容的说明等。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2、投标人需要说明的内容若需特殊表达，应先在本表中进行相应说明，再另页应答，否则</w:t>
      </w:r>
      <w:r>
        <w:rPr>
          <w:rStyle w:val="10"/>
          <w:rFonts w:hint="eastAsia" w:asciiTheme="minorEastAsia" w:hAnsiTheme="minorEastAsia" w:eastAsiaTheme="minorEastAsia" w:cstheme="minorEastAsia"/>
          <w:b/>
          <w:sz w:val="21"/>
          <w:szCs w:val="21"/>
          <w:highlight w:val="none"/>
        </w:rPr>
        <w:t>投标无效</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3、投标文件中涉及</w:t>
      </w:r>
      <w:r>
        <w:rPr>
          <w:rStyle w:val="10"/>
          <w:rFonts w:hint="eastAsia" w:asciiTheme="minorEastAsia" w:hAnsiTheme="minorEastAsia" w:eastAsiaTheme="minorEastAsia" w:cstheme="minorEastAsia"/>
          <w:b/>
          <w:sz w:val="21"/>
          <w:szCs w:val="21"/>
          <w:highlight w:val="none"/>
        </w:rPr>
        <w:t>“投标标的”、“数量”、“规格”、“来源地”</w:t>
      </w:r>
      <w:r>
        <w:rPr>
          <w:rFonts w:hint="eastAsia" w:asciiTheme="minorEastAsia" w:hAnsiTheme="minorEastAsia" w:eastAsiaTheme="minorEastAsia" w:cstheme="minorEastAsia"/>
          <w:sz w:val="21"/>
          <w:szCs w:val="21"/>
          <w:highlight w:val="none"/>
        </w:rPr>
        <w:t>的内容若不一致，</w:t>
      </w:r>
      <w:r>
        <w:rPr>
          <w:rStyle w:val="10"/>
          <w:rFonts w:hint="eastAsia" w:asciiTheme="minorEastAsia" w:hAnsiTheme="minorEastAsia" w:eastAsiaTheme="minorEastAsia" w:cstheme="minorEastAsia"/>
          <w:b/>
          <w:sz w:val="21"/>
          <w:szCs w:val="21"/>
          <w:highlight w:val="none"/>
        </w:rPr>
        <w:t>应以本表为准</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4、纸质投标文件正本中的本表应为原件。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textWrapping"/>
      </w:r>
    </w:p>
    <w:p>
      <w:pPr>
        <w:rPr>
          <w:rStyle w:val="10"/>
          <w:rFonts w:hint="eastAsia" w:asciiTheme="minorEastAsia" w:hAnsiTheme="minorEastAsia" w:eastAsiaTheme="minorEastAsia" w:cstheme="minorEastAsia"/>
          <w:b/>
          <w:sz w:val="21"/>
          <w:szCs w:val="21"/>
          <w:highlight w:val="none"/>
        </w:rPr>
      </w:pPr>
      <w:r>
        <w:rPr>
          <w:rStyle w:val="10"/>
          <w:rFonts w:hint="eastAsia" w:asciiTheme="minorEastAsia" w:hAnsiTheme="minorEastAsia" w:eastAsiaTheme="minorEastAsia" w:cstheme="minorEastAsia"/>
          <w:b/>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二、技术和服务要求响应表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58"/>
        <w:gridCol w:w="853"/>
        <w:gridCol w:w="2964"/>
        <w:gridCol w:w="1842"/>
        <w:gridCol w:w="1887"/>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04" w:hRule="atLeast"/>
        </w:trPr>
        <w:tc>
          <w:tcPr>
            <w:tcW w:w="768"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68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237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技术和服务要求</w:t>
            </w:r>
          </w:p>
        </w:tc>
        <w:tc>
          <w:tcPr>
            <w:tcW w:w="147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投标响应</w:t>
            </w:r>
          </w:p>
        </w:tc>
        <w:tc>
          <w:tcPr>
            <w:tcW w:w="151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是否偏离及说明</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23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4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23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4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23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4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1、本表应按照下列规定填写：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1.1“技术和服务要求”项下填写的内容应与招标文件第五章“技术和服务要求”的内容保持一致。</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1.2“投标响应”项下应填写具体的响应内容并与“技术和服务要求”项下填写的内容逐项对应；对“技术和服务要求”项下涉及“≥或＞”、“≤或＜”及某个区间值范围内的内容，应填写具体的数值。</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1.3“是否偏离及说明”项下应按下列规定填写：优于的，填写“正偏离”；符合的，填写“无偏离”；低于的，填写“负偏离”。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2、投标人需要说明的内容若需特殊表达，应先在本表中进行相应说明，再    另页应答，否则</w:t>
      </w:r>
      <w:r>
        <w:rPr>
          <w:rStyle w:val="10"/>
          <w:rFonts w:hint="eastAsia" w:asciiTheme="minorEastAsia" w:hAnsiTheme="minorEastAsia" w:eastAsiaTheme="minorEastAsia" w:cstheme="minorEastAsia"/>
          <w:b/>
          <w:sz w:val="21"/>
          <w:szCs w:val="21"/>
          <w:highlight w:val="none"/>
        </w:rPr>
        <w:t>投标无效</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3、纸质投标文件正本中的本表应为原件。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三、商务条件响应表</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招标编号：</w:t>
      </w:r>
      <w:r>
        <w:rPr>
          <w:rFonts w:hint="eastAsia" w:asciiTheme="minorEastAsia" w:hAnsiTheme="minorEastAsia" w:eastAsiaTheme="minorEastAsia" w:cstheme="minorEastAsia"/>
          <w:sz w:val="21"/>
          <w:szCs w:val="21"/>
          <w:highlight w:val="none"/>
          <w:u w:val="single"/>
        </w:rPr>
        <w:t>                   </w:t>
      </w:r>
    </w:p>
    <w:tbl>
      <w:tblPr>
        <w:tblStyle w:val="8"/>
        <w:tblW w:w="8504" w:type="dxa"/>
        <w:tblInd w:w="0" w:type="dxa"/>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958"/>
        <w:gridCol w:w="853"/>
        <w:gridCol w:w="2964"/>
        <w:gridCol w:w="1842"/>
        <w:gridCol w:w="1887"/>
      </w:tblGrid>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shd w:val="clear" w:color="auto" w:fill="auto"/>
          <w:tblCellMar>
            <w:top w:w="15" w:type="dxa"/>
            <w:left w:w="15" w:type="dxa"/>
            <w:bottom w:w="15" w:type="dxa"/>
            <w:right w:w="15" w:type="dxa"/>
          </w:tblCellMar>
        </w:tblPrEx>
        <w:tc>
          <w:tcPr>
            <w:tcW w:w="768" w:type="dxa"/>
            <w:tcBorders>
              <w:top w:val="single" w:color="auto" w:sz="4" w:space="0"/>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合同包</w:t>
            </w:r>
          </w:p>
        </w:tc>
        <w:tc>
          <w:tcPr>
            <w:tcW w:w="684"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品目号</w:t>
            </w:r>
          </w:p>
        </w:tc>
        <w:tc>
          <w:tcPr>
            <w:tcW w:w="237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商务条件</w:t>
            </w:r>
          </w:p>
        </w:tc>
        <w:tc>
          <w:tcPr>
            <w:tcW w:w="1476"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投标响应</w:t>
            </w:r>
          </w:p>
        </w:tc>
        <w:tc>
          <w:tcPr>
            <w:tcW w:w="1512" w:type="dxa"/>
            <w:tcBorders>
              <w:top w:val="single" w:color="auto" w:sz="4" w:space="0"/>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是否偏离及说明</w:t>
            </w: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768" w:type="dxa"/>
            <w:vMerge w:val="restart"/>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w:t>
            </w:r>
          </w:p>
        </w:tc>
        <w:tc>
          <w:tcPr>
            <w:tcW w:w="23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4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768" w:type="dxa"/>
            <w:vMerge w:val="continue"/>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rPr>
                <w:rFonts w:hint="eastAsia" w:asciiTheme="minorEastAsia" w:hAnsiTheme="minorEastAsia" w:eastAsiaTheme="minorEastAsia" w:cstheme="minorEastAsia"/>
                <w:sz w:val="21"/>
                <w:szCs w:val="21"/>
                <w:highlight w:val="none"/>
              </w:rPr>
            </w:pP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23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4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top"/>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r>
        <w:tblPrEx>
          <w:tblBorders>
            <w:top w:val="outset" w:color="666666" w:sz="4" w:space="0"/>
            <w:left w:val="outset" w:color="666666" w:sz="4" w:space="0"/>
            <w:bottom w:val="outset" w:color="666666" w:sz="4" w:space="0"/>
            <w:right w:val="outset" w:color="666666" w:sz="4" w:space="0"/>
            <w:insideH w:val="outset" w:color="auto" w:sz="6" w:space="0"/>
            <w:insideV w:val="outset" w:color="auto" w:sz="6" w:space="0"/>
          </w:tblBorders>
          <w:tblCellMar>
            <w:top w:w="15" w:type="dxa"/>
            <w:left w:w="15" w:type="dxa"/>
            <w:bottom w:w="15" w:type="dxa"/>
            <w:right w:w="15" w:type="dxa"/>
          </w:tblCellMar>
        </w:tblPrEx>
        <w:tc>
          <w:tcPr>
            <w:tcW w:w="768" w:type="dxa"/>
            <w:tcBorders>
              <w:top w:val="nil"/>
              <w:left w:val="single" w:color="auto" w:sz="4" w:space="0"/>
              <w:bottom w:val="single" w:color="auto" w:sz="4" w:space="0"/>
              <w:right w:val="single" w:color="auto" w:sz="4" w:space="0"/>
            </w:tcBorders>
            <w:shd w:val="clear" w:color="auto" w:fill="FFFFFF"/>
            <w:tcMar>
              <w:top w:w="0" w:type="dxa"/>
              <w:left w:w="84" w:type="dxa"/>
              <w:bottom w:w="0" w:type="dxa"/>
              <w:right w:w="84" w:type="dxa"/>
            </w:tcMar>
            <w:vAlign w:val="center"/>
          </w:tcPr>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w:t>
            </w:r>
          </w:p>
        </w:tc>
        <w:tc>
          <w:tcPr>
            <w:tcW w:w="684"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23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476"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c>
          <w:tcPr>
            <w:tcW w:w="1512" w:type="dxa"/>
            <w:tcBorders>
              <w:top w:val="nil"/>
              <w:left w:val="nil"/>
              <w:bottom w:val="single" w:color="auto" w:sz="4" w:space="0"/>
              <w:right w:val="single" w:color="auto" w:sz="4" w:space="0"/>
            </w:tcBorders>
            <w:shd w:val="clear" w:color="auto" w:fill="FFFFFF"/>
            <w:tcMar>
              <w:top w:w="0" w:type="dxa"/>
              <w:left w:w="84" w:type="dxa"/>
              <w:bottom w:w="0" w:type="dxa"/>
              <w:right w:w="84" w:type="dxa"/>
            </w:tcMar>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p>
        </w:tc>
      </w:tr>
    </w:tbl>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★注意：</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1、本表应按照下列规定填写：</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1.1“商务条件”项下填写的内容应与招标文件第五章“商务条件”的内容保持一致。</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1.2“投标响应”项下应填写具体的响应内容并与“商务条件”项下填写的内容逐项对应；对“商务条件”项下涉及“≥或＞”、“≤或＜”及某个区间值范围内的内容，应填写具体的数值。</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1.3“是否偏离及说明”项下应按下列规定填写：优于的，填写“正偏离”；符合的，填写“无偏离”；低于的，填写“负偏离”。</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2、投标人需要说明的内容若需特殊表达，应先在本表中进行相应说明，再另页应答，否则</w:t>
      </w:r>
      <w:r>
        <w:rPr>
          <w:rStyle w:val="10"/>
          <w:rFonts w:hint="eastAsia" w:asciiTheme="minorEastAsia" w:hAnsiTheme="minorEastAsia" w:eastAsiaTheme="minorEastAsia" w:cstheme="minorEastAsia"/>
          <w:b/>
          <w:sz w:val="21"/>
          <w:szCs w:val="21"/>
          <w:highlight w:val="none"/>
        </w:rPr>
        <w:t>投标无效</w:t>
      </w:r>
      <w:r>
        <w:rPr>
          <w:rFonts w:hint="eastAsia" w:asciiTheme="minorEastAsia" w:hAnsiTheme="minorEastAsia" w:eastAsiaTheme="minorEastAsia" w:cstheme="minorEastAsia"/>
          <w:sz w:val="21"/>
          <w:szCs w:val="21"/>
          <w:highlight w:val="none"/>
        </w:rPr>
        <w:t>。</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3、纸质投标文件正本中的本表应为原件。</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w:t>
      </w:r>
      <w:r>
        <w:rPr>
          <w:rFonts w:hint="eastAsia" w:asciiTheme="minorEastAsia" w:hAnsiTheme="minorEastAsia" w:eastAsiaTheme="minorEastAsia" w:cstheme="minorEastAsia"/>
          <w:sz w:val="21"/>
          <w:szCs w:val="21"/>
          <w:highlight w:val="none"/>
          <w:u w:val="single"/>
        </w:rPr>
        <w:t>（全称并加盖单位公章）</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投标人代表签字：</w:t>
      </w:r>
      <w:r>
        <w:rPr>
          <w:rFonts w:hint="eastAsia" w:asciiTheme="minorEastAsia" w:hAnsiTheme="minorEastAsia" w:eastAsiaTheme="minorEastAsia" w:cstheme="minorEastAsia"/>
          <w:sz w:val="21"/>
          <w:szCs w:val="21"/>
          <w:highlight w:val="none"/>
          <w:u w:val="singl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日期：</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年</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月</w:t>
      </w:r>
      <w:r>
        <w:rPr>
          <w:rFonts w:hint="eastAsia" w:asciiTheme="minorEastAsia" w:hAnsiTheme="minorEastAsia" w:eastAsiaTheme="minorEastAsia" w:cstheme="minorEastAsia"/>
          <w:sz w:val="21"/>
          <w:szCs w:val="21"/>
          <w:highlight w:val="none"/>
          <w:u w:val="single"/>
        </w:rPr>
        <w:t>   </w:t>
      </w:r>
      <w:r>
        <w:rPr>
          <w:rFonts w:hint="eastAsia" w:asciiTheme="minorEastAsia" w:hAnsiTheme="minorEastAsia" w:eastAsiaTheme="minorEastAsia" w:cstheme="minorEastAsia"/>
          <w:sz w:val="21"/>
          <w:szCs w:val="21"/>
          <w:highlight w:val="none"/>
        </w:rPr>
        <w:t>日</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textWrapping"/>
      </w:r>
    </w:p>
    <w:p>
      <w:pP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br w:type="page"/>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Style w:val="10"/>
          <w:rFonts w:hint="eastAsia" w:asciiTheme="minorEastAsia" w:hAnsiTheme="minorEastAsia" w:eastAsiaTheme="minorEastAsia" w:cstheme="minorEastAsia"/>
          <w:b/>
          <w:sz w:val="21"/>
          <w:szCs w:val="21"/>
          <w:highlight w:val="none"/>
        </w:rPr>
        <w:t>四、投标人提交的其他资料（若有）</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jc w:val="center"/>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编制说明</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1、招标文件要求提交的除</w:t>
      </w:r>
      <w:r>
        <w:rPr>
          <w:rStyle w:val="10"/>
          <w:rFonts w:hint="eastAsia" w:asciiTheme="minorEastAsia" w:hAnsiTheme="minorEastAsia" w:eastAsiaTheme="minorEastAsia" w:cstheme="minorEastAsia"/>
          <w:b/>
          <w:sz w:val="21"/>
          <w:szCs w:val="21"/>
          <w:highlight w:val="none"/>
        </w:rPr>
        <w:t>“资格及资信证明部分”、“报价部分”</w:t>
      </w:r>
      <w:r>
        <w:rPr>
          <w:rFonts w:hint="eastAsia" w:asciiTheme="minorEastAsia" w:hAnsiTheme="minorEastAsia" w:eastAsiaTheme="minorEastAsia" w:cstheme="minorEastAsia"/>
          <w:sz w:val="21"/>
          <w:szCs w:val="21"/>
          <w:highlight w:val="none"/>
        </w:rPr>
        <w:t>外的其他证明材料或资料加盖投标人的单位公章后应在此项下提交。</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2、招标文件要求投标人提供方案（包括但不限于：组织、实施、技术、服务方案等）的，投标人应在此项下提交。</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3、除招标文件另有规定外，投标人认为需要提交的其他证明材料或资料加盖投标人的单位公章后应在此项下提交。</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3"/>
        <w:keepNext w:val="0"/>
        <w:keepLines w:val="0"/>
        <w:widowControl/>
        <w:suppressLineNumbers w:val="0"/>
        <w:spacing w:before="240" w:beforeAutospacing="0" w:after="120" w:afterAutospacing="0" w:line="13" w:lineRule="atLeast"/>
        <w:rPr>
          <w:rFonts w:hint="eastAsia" w:asciiTheme="minorEastAsia" w:hAnsiTheme="minorEastAsia" w:eastAsiaTheme="minorEastAsia" w:cstheme="minorEastAsia"/>
          <w:b w:val="0"/>
          <w:sz w:val="21"/>
          <w:szCs w:val="21"/>
          <w:highlight w:val="none"/>
        </w:rPr>
      </w:pPr>
      <w:r>
        <w:rPr>
          <w:rFonts w:hint="eastAsia" w:asciiTheme="minorEastAsia" w:hAnsiTheme="minorEastAsia" w:eastAsiaTheme="minorEastAsia" w:cstheme="minorEastAsia"/>
          <w:b w:val="0"/>
          <w:sz w:val="21"/>
          <w:szCs w:val="21"/>
          <w:highlight w:val="none"/>
        </w:rPr>
        <w:t>采购文件相关附件</w:t>
      </w:r>
    </w:p>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kern w:val="0"/>
          <w:sz w:val="21"/>
          <w:szCs w:val="21"/>
          <w:highlight w:val="none"/>
          <w:lang w:val="en-US" w:eastAsia="zh-CN" w:bidi="ar"/>
        </w:rPr>
        <w:t> </w:t>
      </w:r>
    </w:p>
    <w:p>
      <w:pPr>
        <w:pStyle w:val="7"/>
        <w:keepNext w:val="0"/>
        <w:keepLines w:val="0"/>
        <w:widowControl/>
        <w:suppressLineNumbers w:val="0"/>
        <w:spacing w:before="60" w:beforeAutospacing="0" w:after="60" w:afterAutospacing="0"/>
        <w:ind w:left="0" w:righ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pacing w:val="0"/>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w:t>
      </w:r>
    </w:p>
    <w:p>
      <w:pPr>
        <w:pStyle w:val="7"/>
        <w:keepNext w:val="0"/>
        <w:keepLines w:val="0"/>
        <w:widowControl/>
        <w:suppressLineNumbers w:val="0"/>
        <w:spacing w:before="0" w:beforeAutospacing="0" w:after="120" w:afterAutospacing="0"/>
        <w:ind w:left="0" w:right="0"/>
        <w:rPr>
          <w:rFonts w:hint="eastAsia" w:asciiTheme="minorEastAsia" w:hAnsiTheme="minorEastAsia" w:eastAsiaTheme="minorEastAsia" w:cstheme="minorEastAsia"/>
          <w:sz w:val="21"/>
          <w:szCs w:val="21"/>
          <w:highlight w:val="none"/>
        </w:rPr>
      </w:pPr>
    </w:p>
    <w:p>
      <w:pPr>
        <w:rPr>
          <w:rFonts w:hint="eastAsia" w:asciiTheme="minorEastAsia" w:hAnsiTheme="minorEastAsia" w:eastAsiaTheme="minorEastAsia" w:cstheme="minorEastAsia"/>
          <w:sz w:val="21"/>
          <w:szCs w:val="21"/>
          <w:highlight w:val="none"/>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873852"/>
    <w:rsid w:val="02301C8A"/>
    <w:rsid w:val="04D067DB"/>
    <w:rsid w:val="0CB55781"/>
    <w:rsid w:val="0D1F4B64"/>
    <w:rsid w:val="12AB471E"/>
    <w:rsid w:val="15F83DE3"/>
    <w:rsid w:val="1A873852"/>
    <w:rsid w:val="21B41EF5"/>
    <w:rsid w:val="2B446689"/>
    <w:rsid w:val="2C00157D"/>
    <w:rsid w:val="2FCD335D"/>
    <w:rsid w:val="316616A5"/>
    <w:rsid w:val="389100D3"/>
    <w:rsid w:val="39C633EC"/>
    <w:rsid w:val="3ED3549E"/>
    <w:rsid w:val="45C76B3D"/>
    <w:rsid w:val="49310815"/>
    <w:rsid w:val="49C92572"/>
    <w:rsid w:val="4A6907E7"/>
    <w:rsid w:val="52765DD7"/>
    <w:rsid w:val="52F32E98"/>
    <w:rsid w:val="554D3345"/>
    <w:rsid w:val="5945786A"/>
    <w:rsid w:val="5AB763B7"/>
    <w:rsid w:val="5EA6628E"/>
    <w:rsid w:val="5EF67053"/>
    <w:rsid w:val="61FA7ECF"/>
    <w:rsid w:val="660840CC"/>
    <w:rsid w:val="66C06803"/>
    <w:rsid w:val="66F21745"/>
    <w:rsid w:val="69555BE0"/>
    <w:rsid w:val="6CEA5F9D"/>
    <w:rsid w:val="6F630AC4"/>
    <w:rsid w:val="7A6D070B"/>
    <w:rsid w:val="7AD40087"/>
    <w:rsid w:val="7CF50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2022-03-31T08:24:00Z</dcterms:created>
  <dc:creator>47861</dc:creator>
  <cp:lastModifiedBy>47861</cp:lastModifiedBy>
  <dcterms:modified xsi:type="dcterms:W3CDTF">2022-04-02T04:31:59Z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